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60" w:lineRule="exact"/>
        <w:rPr>
          <w:rFonts w:hint="eastAsia" w:ascii="仿宋_GB2312" w:hAnsi="仿宋_GB2312" w:eastAsia="仿宋_GB2312" w:cs="仿宋_GB2312"/>
          <w:color w:val="auto"/>
          <w:sz w:val="30"/>
          <w:szCs w:val="30"/>
          <w:highlight w:val="none"/>
          <w:lang w:eastAsia="zh-CN"/>
        </w:rPr>
      </w:pPr>
      <w:r>
        <w:rPr>
          <w:rFonts w:hint="eastAsia" w:ascii="仿宋_GB2312" w:hAnsi="仿宋_GB2312" w:eastAsia="仿宋_GB2312" w:cs="仿宋_GB2312"/>
          <w:color w:val="auto"/>
          <w:sz w:val="30"/>
          <w:szCs w:val="30"/>
          <w:highlight w:val="none"/>
          <w:lang w:eastAsia="zh-CN"/>
        </w:rPr>
        <w:t>附件：</w:t>
      </w:r>
    </w:p>
    <w:p>
      <w:pPr>
        <w:adjustRightInd w:val="0"/>
        <w:snapToGrid w:val="0"/>
        <w:spacing w:line="460" w:lineRule="exact"/>
        <w:jc w:val="center"/>
        <w:rPr>
          <w:rFonts w:hint="eastAsia" w:ascii="方正小标宋简体" w:hAnsi="方正小标宋简体" w:eastAsia="方正小标宋简体" w:cs="方正小标宋简体"/>
          <w:bCs/>
          <w:color w:val="auto"/>
          <w:sz w:val="36"/>
          <w:szCs w:val="36"/>
          <w:highlight w:val="none"/>
          <w:lang w:eastAsia="zh-CN"/>
        </w:rPr>
      </w:pPr>
      <w:r>
        <w:rPr>
          <w:rFonts w:hint="eastAsia" w:ascii="方正小标宋简体" w:hAnsi="方正小标宋简体" w:eastAsia="方正小标宋简体" w:cs="方正小标宋简体"/>
          <w:bCs/>
          <w:color w:val="auto"/>
          <w:sz w:val="36"/>
          <w:szCs w:val="36"/>
          <w:highlight w:val="none"/>
          <w:lang w:eastAsia="zh-CN"/>
        </w:rPr>
        <w:t>智能净气型存储柜的采购需求</w:t>
      </w:r>
    </w:p>
    <w:p>
      <w:pPr>
        <w:pStyle w:val="179"/>
        <w:rPr>
          <w:color w:val="auto"/>
          <w:highlight w:val="none"/>
          <w:lang w:eastAsia="zh-CN"/>
        </w:rPr>
      </w:pPr>
    </w:p>
    <w:p>
      <w:pPr>
        <w:pStyle w:val="3"/>
        <w:spacing w:before="0" w:after="0" w:line="460" w:lineRule="exact"/>
        <w:ind w:firstLine="560" w:firstLineChars="200"/>
        <w:rPr>
          <w:rFonts w:hint="eastAsia" w:ascii="黑体" w:hAnsi="黑体" w:eastAsia="黑体"/>
          <w:b w:val="0"/>
          <w:bCs w:val="0"/>
          <w:color w:val="auto"/>
          <w:sz w:val="28"/>
          <w:highlight w:val="none"/>
          <w:lang w:eastAsia="zh-CN"/>
        </w:rPr>
      </w:pPr>
      <w:bookmarkStart w:id="0" w:name="_Toc239067551"/>
      <w:r>
        <w:rPr>
          <w:rFonts w:hint="eastAsia" w:ascii="黑体" w:hAnsi="黑体" w:eastAsia="黑体"/>
          <w:b w:val="0"/>
          <w:bCs w:val="0"/>
          <w:color w:val="auto"/>
          <w:sz w:val="28"/>
          <w:highlight w:val="none"/>
          <w:lang w:val="en-US" w:eastAsia="zh-CN"/>
        </w:rPr>
        <w:t>一、</w:t>
      </w:r>
      <w:r>
        <w:rPr>
          <w:rFonts w:hint="eastAsia" w:ascii="黑体" w:hAnsi="黑体" w:eastAsia="黑体"/>
          <w:b w:val="0"/>
          <w:bCs w:val="0"/>
          <w:color w:val="auto"/>
          <w:sz w:val="28"/>
          <w:highlight w:val="none"/>
          <w:lang w:eastAsia="zh-CN"/>
        </w:rPr>
        <w:t>主要用途</w:t>
      </w:r>
    </w:p>
    <w:p>
      <w:pPr>
        <w:spacing w:line="460" w:lineRule="exact"/>
        <w:ind w:firstLine="560" w:firstLineChars="200"/>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lang w:eastAsia="zh-CN"/>
        </w:rPr>
        <w:t>智能净气型存储柜用于放置实验室内使用的腐蚀性液体、毒性化学品等，如强酸强碱、易挥发的三氯甲烷、甲醇等试剂，通过活性炭吸附的方式处理挥发出来的有害气体，保障实验人员身体健康。</w:t>
      </w:r>
    </w:p>
    <w:p>
      <w:pPr>
        <w:pStyle w:val="3"/>
        <w:spacing w:before="0" w:after="0" w:line="460" w:lineRule="exact"/>
        <w:ind w:firstLine="560" w:firstLineChars="200"/>
        <w:rPr>
          <w:rFonts w:hint="eastAsia" w:ascii="黑体" w:hAnsi="黑体" w:eastAsia="黑体"/>
          <w:b w:val="0"/>
          <w:bCs w:val="0"/>
          <w:color w:val="auto"/>
          <w:sz w:val="28"/>
          <w:highlight w:val="none"/>
          <w:lang w:eastAsia="zh-CN"/>
        </w:rPr>
      </w:pPr>
      <w:r>
        <w:rPr>
          <w:rFonts w:hint="eastAsia" w:ascii="黑体" w:hAnsi="黑体" w:eastAsia="黑体"/>
          <w:b w:val="0"/>
          <w:bCs w:val="0"/>
          <w:color w:val="auto"/>
          <w:sz w:val="28"/>
          <w:highlight w:val="none"/>
          <w:lang w:val="en-US" w:eastAsia="zh-CN"/>
        </w:rPr>
        <w:t>二、</w:t>
      </w:r>
      <w:r>
        <w:rPr>
          <w:rFonts w:hint="eastAsia" w:ascii="黑体" w:hAnsi="黑体" w:eastAsia="黑体"/>
          <w:b w:val="0"/>
          <w:bCs w:val="0"/>
          <w:color w:val="auto"/>
          <w:sz w:val="28"/>
          <w:highlight w:val="none"/>
          <w:lang w:eastAsia="zh-CN"/>
        </w:rPr>
        <w:t>技术参数</w:t>
      </w:r>
    </w:p>
    <w:p>
      <w:pPr>
        <w:spacing w:line="460" w:lineRule="exact"/>
        <w:ind w:firstLine="560" w:firstLineChars="200"/>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lang w:eastAsia="zh-CN"/>
        </w:rPr>
        <w:t>1、智能净气型存储柜专为有毒有害化学品存储而设计，遵循《中华人民共和国建筑工业行业标准JG/T 385-2012》。</w:t>
      </w:r>
    </w:p>
    <w:p>
      <w:pPr>
        <w:spacing w:line="460" w:lineRule="exact"/>
        <w:ind w:firstLine="560" w:firstLineChars="200"/>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lang w:val="en-US" w:eastAsia="zh-CN"/>
        </w:rPr>
        <w:t>2</w:t>
      </w:r>
      <w:r>
        <w:rPr>
          <w:rFonts w:hint="eastAsia" w:ascii="仿宋_GB2312" w:hAnsi="仿宋_GB2312" w:eastAsia="仿宋_GB2312" w:cs="仿宋_GB2312"/>
          <w:color w:val="auto"/>
          <w:sz w:val="28"/>
          <w:szCs w:val="28"/>
          <w:highlight w:val="none"/>
          <w:lang w:eastAsia="zh-CN"/>
        </w:rPr>
        <w:t>、金属部件：主要材质≥1.2mm镀锌钢板，且耐腐蚀和湿气的影响。</w:t>
      </w:r>
    </w:p>
    <w:p>
      <w:pPr>
        <w:spacing w:line="460" w:lineRule="exact"/>
        <w:ind w:firstLine="560" w:firstLineChars="200"/>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lang w:val="en-US" w:eastAsia="zh-CN"/>
        </w:rPr>
        <w:t>3</w:t>
      </w:r>
      <w:r>
        <w:rPr>
          <w:rFonts w:hint="eastAsia" w:ascii="仿宋_GB2312" w:hAnsi="仿宋_GB2312" w:eastAsia="仿宋_GB2312" w:cs="仿宋_GB2312"/>
          <w:color w:val="auto"/>
          <w:sz w:val="28"/>
          <w:szCs w:val="28"/>
          <w:highlight w:val="none"/>
          <w:lang w:eastAsia="zh-CN"/>
        </w:rPr>
        <w:t>、门板：主要材质≥4mm亚克力板。</w:t>
      </w:r>
    </w:p>
    <w:p>
      <w:pPr>
        <w:spacing w:line="460" w:lineRule="exact"/>
        <w:ind w:firstLine="560" w:firstLineChars="200"/>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lang w:val="en-US" w:eastAsia="zh-CN"/>
        </w:rPr>
        <w:t>4</w:t>
      </w:r>
      <w:r>
        <w:rPr>
          <w:rFonts w:hint="eastAsia" w:ascii="仿宋_GB2312" w:hAnsi="仿宋_GB2312" w:eastAsia="仿宋_GB2312" w:cs="仿宋_GB2312"/>
          <w:color w:val="auto"/>
          <w:sz w:val="28"/>
          <w:szCs w:val="28"/>
          <w:highlight w:val="none"/>
          <w:lang w:eastAsia="zh-CN"/>
        </w:rPr>
        <w:t>、层板：一体成型PP托盘，抗酸碱，高度可调，每个托盘防渗漏量不小于4L。挂钩：采用一体成型PC透明材质，具有较强的耐腐蚀性，承重超120kg/㎡。</w:t>
      </w:r>
    </w:p>
    <w:p>
      <w:pPr>
        <w:spacing w:line="460" w:lineRule="exact"/>
        <w:ind w:firstLine="560" w:firstLineChars="200"/>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lang w:val="en-US" w:eastAsia="zh-CN"/>
        </w:rPr>
        <w:t>5</w:t>
      </w:r>
      <w:r>
        <w:rPr>
          <w:rFonts w:hint="eastAsia" w:ascii="仿宋_GB2312" w:hAnsi="仿宋_GB2312" w:eastAsia="仿宋_GB2312" w:cs="仿宋_GB2312"/>
          <w:color w:val="auto"/>
          <w:sz w:val="28"/>
          <w:szCs w:val="28"/>
          <w:highlight w:val="none"/>
          <w:lang w:eastAsia="zh-CN"/>
        </w:rPr>
        <w:t>、锁具：采用非接触式射频门禁读卡器，自带卡配置功能，可设置单双人开锁；灵活配置读卡器参数，实现卡片密钥、卡号输出格式、NFC模式等，可提供WG26/WG34/WG66、TTL、RS232、RS485等通讯接口。</w:t>
      </w:r>
    </w:p>
    <w:p>
      <w:pPr>
        <w:spacing w:line="460" w:lineRule="exact"/>
        <w:ind w:firstLine="560" w:firstLineChars="200"/>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lang w:val="en-US" w:eastAsia="zh-CN"/>
        </w:rPr>
        <w:t>6</w:t>
      </w:r>
      <w:r>
        <w:rPr>
          <w:rFonts w:hint="eastAsia" w:ascii="仿宋_GB2312" w:hAnsi="仿宋_GB2312" w:eastAsia="仿宋_GB2312" w:cs="仿宋_GB2312"/>
          <w:color w:val="auto"/>
          <w:sz w:val="28"/>
          <w:szCs w:val="28"/>
          <w:highlight w:val="none"/>
          <w:lang w:eastAsia="zh-CN"/>
        </w:rPr>
        <w:t>、刷卡数据可与试剂管理系统进行联动，高效实现化学品管理功能。</w:t>
      </w:r>
    </w:p>
    <w:p>
      <w:pPr>
        <w:spacing w:line="460" w:lineRule="exact"/>
        <w:ind w:firstLine="560" w:firstLineChars="200"/>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lang w:val="en-US" w:eastAsia="zh-CN"/>
        </w:rPr>
        <w:t>7</w:t>
      </w:r>
      <w:r>
        <w:rPr>
          <w:rFonts w:hint="eastAsia" w:ascii="仿宋_GB2312" w:hAnsi="仿宋_GB2312" w:eastAsia="仿宋_GB2312" w:cs="仿宋_GB2312"/>
          <w:color w:val="auto"/>
          <w:sz w:val="28"/>
          <w:szCs w:val="28"/>
          <w:highlight w:val="none"/>
          <w:lang w:eastAsia="zh-CN"/>
        </w:rPr>
        <w:t>、不小于5英寸屏幕显示，控制系统软件实时温湿度环境监控系统，显示实时温湿度，设置报警参数。</w:t>
      </w:r>
    </w:p>
    <w:p>
      <w:pPr>
        <w:spacing w:line="460" w:lineRule="exact"/>
        <w:ind w:firstLine="560" w:firstLineChars="200"/>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lang w:val="en-US" w:eastAsia="zh-CN"/>
        </w:rPr>
        <w:t>8</w:t>
      </w:r>
      <w:r>
        <w:rPr>
          <w:rFonts w:hint="eastAsia" w:ascii="仿宋_GB2312" w:hAnsi="仿宋_GB2312" w:eastAsia="仿宋_GB2312" w:cs="仿宋_GB2312"/>
          <w:color w:val="auto"/>
          <w:sz w:val="28"/>
          <w:szCs w:val="28"/>
          <w:highlight w:val="none"/>
          <w:lang w:eastAsia="zh-CN"/>
        </w:rPr>
        <w:t>、风机监控：风机系统失灵报警，在线可调风机转速。</w:t>
      </w:r>
    </w:p>
    <w:p>
      <w:pPr>
        <w:spacing w:line="460" w:lineRule="exact"/>
        <w:ind w:firstLine="560" w:firstLineChars="200"/>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lang w:val="en-US" w:eastAsia="zh-CN"/>
        </w:rPr>
        <w:t>9</w:t>
      </w:r>
      <w:r>
        <w:rPr>
          <w:rFonts w:hint="eastAsia" w:ascii="仿宋_GB2312" w:hAnsi="仿宋_GB2312" w:eastAsia="仿宋_GB2312" w:cs="仿宋_GB2312"/>
          <w:color w:val="auto"/>
          <w:sz w:val="28"/>
          <w:szCs w:val="28"/>
          <w:highlight w:val="none"/>
          <w:lang w:eastAsia="zh-CN"/>
        </w:rPr>
        <w:t>、当门开启时，风机转速自动加大，保证在开门状态下控制柜内气体不泄露。</w:t>
      </w:r>
    </w:p>
    <w:p>
      <w:pPr>
        <w:spacing w:line="460" w:lineRule="exact"/>
        <w:ind w:firstLine="560" w:firstLineChars="200"/>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lang w:eastAsia="zh-CN"/>
        </w:rPr>
        <w:t>1</w:t>
      </w:r>
      <w:r>
        <w:rPr>
          <w:rFonts w:hint="eastAsia" w:ascii="仿宋_GB2312" w:hAnsi="仿宋_GB2312" w:eastAsia="仿宋_GB2312" w:cs="仿宋_GB2312"/>
          <w:color w:val="auto"/>
          <w:sz w:val="28"/>
          <w:szCs w:val="28"/>
          <w:highlight w:val="none"/>
          <w:lang w:val="en-US" w:eastAsia="zh-CN"/>
        </w:rPr>
        <w:t>0</w:t>
      </w:r>
      <w:r>
        <w:rPr>
          <w:rFonts w:hint="eastAsia" w:ascii="仿宋_GB2312" w:hAnsi="仿宋_GB2312" w:eastAsia="仿宋_GB2312" w:cs="仿宋_GB2312"/>
          <w:color w:val="auto"/>
          <w:sz w:val="28"/>
          <w:szCs w:val="28"/>
          <w:highlight w:val="none"/>
          <w:lang w:eastAsia="zh-CN"/>
        </w:rPr>
        <w:t>、根据化学品存储过程中的重大安全管理及提醒，未关门会产生重大安全隐患，需具备未关门提醒功能，实时提醒随手关门确保化学品存储安全。</w:t>
      </w:r>
    </w:p>
    <w:p>
      <w:pPr>
        <w:spacing w:line="460" w:lineRule="exact"/>
        <w:ind w:firstLine="560" w:firstLineChars="200"/>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lang w:eastAsia="zh-CN"/>
        </w:rPr>
        <w:t>1</w:t>
      </w:r>
      <w:r>
        <w:rPr>
          <w:rFonts w:hint="eastAsia" w:ascii="仿宋_GB2312" w:hAnsi="仿宋_GB2312" w:eastAsia="仿宋_GB2312" w:cs="仿宋_GB2312"/>
          <w:color w:val="auto"/>
          <w:sz w:val="28"/>
          <w:szCs w:val="28"/>
          <w:highlight w:val="none"/>
          <w:lang w:val="en-US" w:eastAsia="zh-CN"/>
        </w:rPr>
        <w:t>1</w:t>
      </w:r>
      <w:r>
        <w:rPr>
          <w:rFonts w:hint="eastAsia" w:ascii="仿宋_GB2312" w:hAnsi="仿宋_GB2312" w:eastAsia="仿宋_GB2312" w:cs="仿宋_GB2312"/>
          <w:color w:val="auto"/>
          <w:sz w:val="28"/>
          <w:szCs w:val="28"/>
          <w:highlight w:val="none"/>
          <w:lang w:eastAsia="zh-CN"/>
        </w:rPr>
        <w:t>、过滤器饱和报警系统：配有双层过滤器，VOC探头，监测过滤器饱和状况，过滤器设定饱和报警值，超出范围即报警，当浓度长时间超出设定值需更换过滤器。</w:t>
      </w:r>
    </w:p>
    <w:p>
      <w:pPr>
        <w:spacing w:line="460" w:lineRule="exact"/>
        <w:ind w:firstLine="560" w:firstLineChars="200"/>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lang w:eastAsia="zh-CN"/>
        </w:rPr>
        <w:t>1</w:t>
      </w:r>
      <w:r>
        <w:rPr>
          <w:rFonts w:hint="eastAsia" w:ascii="仿宋_GB2312" w:hAnsi="仿宋_GB2312" w:eastAsia="仿宋_GB2312" w:cs="仿宋_GB2312"/>
          <w:color w:val="auto"/>
          <w:sz w:val="28"/>
          <w:szCs w:val="28"/>
          <w:highlight w:val="none"/>
          <w:lang w:val="en-US" w:eastAsia="zh-CN"/>
        </w:rPr>
        <w:t>2</w:t>
      </w:r>
      <w:r>
        <w:rPr>
          <w:rFonts w:hint="eastAsia" w:ascii="仿宋_GB2312" w:hAnsi="仿宋_GB2312" w:eastAsia="仿宋_GB2312" w:cs="仿宋_GB2312"/>
          <w:color w:val="auto"/>
          <w:sz w:val="28"/>
          <w:szCs w:val="28"/>
          <w:highlight w:val="none"/>
          <w:lang w:eastAsia="zh-CN"/>
        </w:rPr>
        <w:t>、性能稳定，超静音，无火花静电。</w:t>
      </w:r>
    </w:p>
    <w:p>
      <w:pPr>
        <w:spacing w:line="460" w:lineRule="exact"/>
        <w:ind w:firstLine="560" w:firstLineChars="200"/>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lang w:eastAsia="zh-CN"/>
        </w:rPr>
        <w:t>1</w:t>
      </w:r>
      <w:r>
        <w:rPr>
          <w:rFonts w:hint="eastAsia" w:ascii="仿宋_GB2312" w:hAnsi="仿宋_GB2312" w:eastAsia="仿宋_GB2312" w:cs="仿宋_GB2312"/>
          <w:color w:val="auto"/>
          <w:sz w:val="28"/>
          <w:szCs w:val="28"/>
          <w:highlight w:val="none"/>
          <w:lang w:val="en-US" w:eastAsia="zh-CN"/>
        </w:rPr>
        <w:t>3</w:t>
      </w:r>
      <w:r>
        <w:rPr>
          <w:rFonts w:hint="eastAsia" w:ascii="仿宋_GB2312" w:hAnsi="仿宋_GB2312" w:eastAsia="仿宋_GB2312" w:cs="仿宋_GB2312"/>
          <w:color w:val="auto"/>
          <w:sz w:val="28"/>
          <w:szCs w:val="28"/>
          <w:highlight w:val="none"/>
          <w:lang w:eastAsia="zh-CN"/>
        </w:rPr>
        <w:t>、高效过滤系统，按照颗粒大小选择排列分布，遵循ASTM标准，有效针对酸性气体、酸性气体和粒子粉末，吸附能力强。分子过滤器由分子筛和活性炭配比而成。</w:t>
      </w:r>
    </w:p>
    <w:p>
      <w:pPr>
        <w:spacing w:line="460" w:lineRule="exact"/>
        <w:ind w:firstLine="560" w:firstLineChars="200"/>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lang w:eastAsia="zh-CN"/>
        </w:rPr>
        <w:t>▲1</w:t>
      </w:r>
      <w:r>
        <w:rPr>
          <w:rFonts w:hint="eastAsia" w:ascii="仿宋_GB2312" w:hAnsi="仿宋_GB2312" w:eastAsia="仿宋_GB2312" w:cs="仿宋_GB2312"/>
          <w:color w:val="auto"/>
          <w:sz w:val="28"/>
          <w:szCs w:val="28"/>
          <w:highlight w:val="none"/>
          <w:lang w:val="en-US" w:eastAsia="zh-CN"/>
        </w:rPr>
        <w:t>4</w:t>
      </w:r>
      <w:r>
        <w:rPr>
          <w:rFonts w:hint="eastAsia" w:ascii="仿宋_GB2312" w:hAnsi="仿宋_GB2312" w:eastAsia="仿宋_GB2312" w:cs="仿宋_GB2312"/>
          <w:color w:val="auto"/>
          <w:sz w:val="28"/>
          <w:szCs w:val="28"/>
          <w:highlight w:val="none"/>
          <w:lang w:eastAsia="zh-CN"/>
        </w:rPr>
        <w:t>、过滤系统中原材料需包含分子筛，碘吸附值参照相关检测标准，碘值应达到≥214mg/g，比表面积参照GB/T 7702.20-2025检测标准，比表面积应达到≥304㎡/g。（须提供检测报告证明材料）</w:t>
      </w:r>
    </w:p>
    <w:p>
      <w:pPr>
        <w:spacing w:line="460" w:lineRule="exact"/>
        <w:ind w:firstLine="560" w:firstLineChars="200"/>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lang w:eastAsia="zh-CN"/>
        </w:rPr>
        <w:t>▲1</w:t>
      </w:r>
      <w:r>
        <w:rPr>
          <w:rFonts w:hint="eastAsia" w:ascii="仿宋_GB2312" w:hAnsi="仿宋_GB2312" w:eastAsia="仿宋_GB2312" w:cs="仿宋_GB2312"/>
          <w:color w:val="auto"/>
          <w:sz w:val="28"/>
          <w:szCs w:val="28"/>
          <w:highlight w:val="none"/>
          <w:lang w:val="en-US" w:eastAsia="zh-CN"/>
        </w:rPr>
        <w:t>5</w:t>
      </w:r>
      <w:r>
        <w:rPr>
          <w:rFonts w:hint="eastAsia" w:ascii="仿宋_GB2312" w:hAnsi="仿宋_GB2312" w:eastAsia="仿宋_GB2312" w:cs="仿宋_GB2312"/>
          <w:color w:val="auto"/>
          <w:sz w:val="28"/>
          <w:szCs w:val="28"/>
          <w:highlight w:val="none"/>
          <w:lang w:eastAsia="zh-CN"/>
        </w:rPr>
        <w:t>、针对气体过滤器额定吸附量，应符合JG/T 385-2012规定的额定吸附量要求，其中包含硫酸吸附量≥1674g，硝酸吸附量≥1608g，乙酸吸附量≥1610g，甲酸吸附量≥1235g，乙醇吸附量≥220g，甲醇吸附量≥50g，正丁醇吸附量≥1400g，四氢呋喃吸附量≥870g（须提供检测报告证明材料）</w:t>
      </w:r>
    </w:p>
    <w:p>
      <w:pPr>
        <w:spacing w:line="460" w:lineRule="exact"/>
        <w:ind w:firstLine="560" w:firstLineChars="200"/>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lang w:eastAsia="zh-CN"/>
        </w:rPr>
        <w:t>1</w:t>
      </w:r>
      <w:r>
        <w:rPr>
          <w:rFonts w:hint="eastAsia" w:ascii="仿宋_GB2312" w:hAnsi="仿宋_GB2312" w:eastAsia="仿宋_GB2312" w:cs="仿宋_GB2312"/>
          <w:color w:val="auto"/>
          <w:sz w:val="28"/>
          <w:szCs w:val="28"/>
          <w:highlight w:val="none"/>
          <w:lang w:val="en-US" w:eastAsia="zh-CN"/>
        </w:rPr>
        <w:t>6</w:t>
      </w:r>
      <w:r>
        <w:rPr>
          <w:rFonts w:hint="eastAsia" w:ascii="仿宋_GB2312" w:hAnsi="仿宋_GB2312" w:eastAsia="仿宋_GB2312" w:cs="仿宋_GB2312"/>
          <w:color w:val="auto"/>
          <w:sz w:val="28"/>
          <w:szCs w:val="28"/>
          <w:highlight w:val="none"/>
          <w:lang w:eastAsia="zh-CN"/>
        </w:rPr>
        <w:t>、提供接口，支持第三方平台对接功能。</w:t>
      </w:r>
    </w:p>
    <w:p>
      <w:pPr>
        <w:spacing w:line="460" w:lineRule="exact"/>
        <w:ind w:firstLine="560" w:firstLineChars="200"/>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lang w:eastAsia="zh-CN"/>
        </w:rPr>
        <w:t>1</w:t>
      </w:r>
      <w:r>
        <w:rPr>
          <w:rFonts w:hint="eastAsia" w:ascii="仿宋_GB2312" w:hAnsi="仿宋_GB2312" w:eastAsia="仿宋_GB2312" w:cs="仿宋_GB2312"/>
          <w:color w:val="auto"/>
          <w:sz w:val="28"/>
          <w:szCs w:val="28"/>
          <w:highlight w:val="none"/>
          <w:lang w:val="en-US" w:eastAsia="zh-CN"/>
        </w:rPr>
        <w:t>7</w:t>
      </w:r>
      <w:r>
        <w:rPr>
          <w:rFonts w:hint="eastAsia" w:ascii="仿宋_GB2312" w:hAnsi="仿宋_GB2312" w:eastAsia="仿宋_GB2312" w:cs="仿宋_GB2312"/>
          <w:color w:val="auto"/>
          <w:sz w:val="28"/>
          <w:szCs w:val="28"/>
          <w:highlight w:val="none"/>
          <w:lang w:eastAsia="zh-CN"/>
        </w:rPr>
        <w:t>、参数配置：</w:t>
      </w:r>
    </w:p>
    <w:p>
      <w:pPr>
        <w:spacing w:line="460" w:lineRule="exact"/>
        <w:ind w:firstLine="560" w:firstLineChars="200"/>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lang w:eastAsia="zh-CN"/>
        </w:rPr>
        <w:t>1</w:t>
      </w:r>
      <w:r>
        <w:rPr>
          <w:rFonts w:hint="eastAsia" w:ascii="仿宋_GB2312" w:hAnsi="仿宋_GB2312" w:eastAsia="仿宋_GB2312" w:cs="仿宋_GB2312"/>
          <w:color w:val="auto"/>
          <w:sz w:val="28"/>
          <w:szCs w:val="28"/>
          <w:highlight w:val="none"/>
          <w:lang w:val="en-US" w:eastAsia="zh-CN"/>
        </w:rPr>
        <w:t>7</w:t>
      </w:r>
      <w:r>
        <w:rPr>
          <w:rFonts w:hint="eastAsia" w:ascii="仿宋_GB2312" w:hAnsi="仿宋_GB2312" w:eastAsia="仿宋_GB2312" w:cs="仿宋_GB2312"/>
          <w:color w:val="auto"/>
          <w:sz w:val="28"/>
          <w:szCs w:val="28"/>
          <w:highlight w:val="none"/>
          <w:lang w:eastAsia="zh-CN"/>
        </w:rPr>
        <w:t>.1、智能净气型存储柜</w:t>
      </w:r>
    </w:p>
    <w:p>
      <w:pPr>
        <w:spacing w:line="460" w:lineRule="exact"/>
        <w:ind w:firstLine="560" w:firstLineChars="200"/>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lang w:eastAsia="zh-CN"/>
        </w:rPr>
        <w:t>外部尺寸不小于：800*54</w:t>
      </w:r>
      <w:r>
        <w:rPr>
          <w:rFonts w:hint="eastAsia" w:ascii="仿宋_GB2312" w:hAnsi="仿宋_GB2312" w:eastAsia="仿宋_GB2312" w:cs="仿宋_GB2312"/>
          <w:color w:val="auto"/>
          <w:sz w:val="28"/>
          <w:szCs w:val="28"/>
          <w:highlight w:val="none"/>
          <w:lang w:val="en-US" w:eastAsia="zh-CN"/>
        </w:rPr>
        <w:t>0</w:t>
      </w:r>
      <w:r>
        <w:rPr>
          <w:rFonts w:hint="eastAsia" w:ascii="仿宋_GB2312" w:hAnsi="仿宋_GB2312" w:eastAsia="仿宋_GB2312" w:cs="仿宋_GB2312"/>
          <w:color w:val="auto"/>
          <w:sz w:val="28"/>
          <w:szCs w:val="28"/>
          <w:highlight w:val="none"/>
          <w:lang w:eastAsia="zh-CN"/>
        </w:rPr>
        <w:t>*1960mm，</w:t>
      </w:r>
    </w:p>
    <w:p>
      <w:pPr>
        <w:spacing w:line="460" w:lineRule="exact"/>
        <w:ind w:firstLine="560" w:firstLineChars="200"/>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lang w:eastAsia="zh-CN"/>
        </w:rPr>
        <w:t>内部尺寸不小于：79</w:t>
      </w:r>
      <w:r>
        <w:rPr>
          <w:rFonts w:hint="eastAsia" w:ascii="仿宋_GB2312" w:hAnsi="仿宋_GB2312" w:eastAsia="仿宋_GB2312" w:cs="仿宋_GB2312"/>
          <w:color w:val="auto"/>
          <w:sz w:val="28"/>
          <w:szCs w:val="28"/>
          <w:highlight w:val="none"/>
          <w:lang w:val="en-US" w:eastAsia="zh-CN"/>
        </w:rPr>
        <w:t>0</w:t>
      </w:r>
      <w:r>
        <w:rPr>
          <w:rFonts w:hint="eastAsia" w:ascii="仿宋_GB2312" w:hAnsi="仿宋_GB2312" w:eastAsia="仿宋_GB2312" w:cs="仿宋_GB2312"/>
          <w:color w:val="auto"/>
          <w:sz w:val="28"/>
          <w:szCs w:val="28"/>
          <w:highlight w:val="none"/>
          <w:lang w:eastAsia="zh-CN"/>
        </w:rPr>
        <w:t>*450*149</w:t>
      </w:r>
      <w:r>
        <w:rPr>
          <w:rFonts w:hint="eastAsia" w:ascii="仿宋_GB2312" w:hAnsi="仿宋_GB2312" w:eastAsia="仿宋_GB2312" w:cs="仿宋_GB2312"/>
          <w:color w:val="auto"/>
          <w:sz w:val="28"/>
          <w:szCs w:val="28"/>
          <w:highlight w:val="none"/>
          <w:lang w:val="en-US" w:eastAsia="zh-CN"/>
        </w:rPr>
        <w:t>0</w:t>
      </w:r>
      <w:r>
        <w:rPr>
          <w:rFonts w:hint="eastAsia" w:ascii="仿宋_GB2312" w:hAnsi="仿宋_GB2312" w:eastAsia="仿宋_GB2312" w:cs="仿宋_GB2312"/>
          <w:color w:val="auto"/>
          <w:sz w:val="28"/>
          <w:szCs w:val="28"/>
          <w:highlight w:val="none"/>
          <w:lang w:eastAsia="zh-CN"/>
        </w:rPr>
        <w:t>mm，</w:t>
      </w:r>
    </w:p>
    <w:p>
      <w:pPr>
        <w:spacing w:line="460" w:lineRule="exact"/>
        <w:ind w:firstLine="560" w:firstLineChars="200"/>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lang w:eastAsia="zh-CN"/>
        </w:rPr>
        <w:t>过滤器尺寸不小于：370*39</w:t>
      </w:r>
      <w:r>
        <w:rPr>
          <w:rFonts w:hint="eastAsia" w:ascii="仿宋_GB2312" w:hAnsi="仿宋_GB2312" w:eastAsia="仿宋_GB2312" w:cs="仿宋_GB2312"/>
          <w:color w:val="auto"/>
          <w:sz w:val="28"/>
          <w:szCs w:val="28"/>
          <w:highlight w:val="none"/>
          <w:lang w:val="en-US" w:eastAsia="zh-CN"/>
        </w:rPr>
        <w:t>0</w:t>
      </w:r>
      <w:r>
        <w:rPr>
          <w:rFonts w:hint="eastAsia" w:ascii="仿宋_GB2312" w:hAnsi="仿宋_GB2312" w:eastAsia="仿宋_GB2312" w:cs="仿宋_GB2312"/>
          <w:color w:val="auto"/>
          <w:sz w:val="28"/>
          <w:szCs w:val="28"/>
          <w:highlight w:val="none"/>
          <w:lang w:eastAsia="zh-CN"/>
        </w:rPr>
        <w:t>*50mm，</w:t>
      </w:r>
    </w:p>
    <w:p>
      <w:pPr>
        <w:spacing w:line="460" w:lineRule="exact"/>
        <w:ind w:firstLine="560" w:firstLineChars="200"/>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lang w:eastAsia="zh-CN"/>
        </w:rPr>
        <w:t>初效过滤器尺寸不小于：370*39</w:t>
      </w:r>
      <w:r>
        <w:rPr>
          <w:rFonts w:hint="eastAsia" w:ascii="仿宋_GB2312" w:hAnsi="仿宋_GB2312" w:eastAsia="仿宋_GB2312" w:cs="仿宋_GB2312"/>
          <w:color w:val="auto"/>
          <w:sz w:val="28"/>
          <w:szCs w:val="28"/>
          <w:highlight w:val="none"/>
          <w:lang w:val="en-US" w:eastAsia="zh-CN"/>
        </w:rPr>
        <w:t>0</w:t>
      </w:r>
      <w:r>
        <w:rPr>
          <w:rFonts w:hint="eastAsia" w:ascii="仿宋_GB2312" w:hAnsi="仿宋_GB2312" w:eastAsia="仿宋_GB2312" w:cs="仿宋_GB2312"/>
          <w:color w:val="auto"/>
          <w:sz w:val="28"/>
          <w:szCs w:val="28"/>
          <w:highlight w:val="none"/>
          <w:lang w:eastAsia="zh-CN"/>
        </w:rPr>
        <w:t>*2</w:t>
      </w:r>
      <w:r>
        <w:rPr>
          <w:rFonts w:hint="eastAsia" w:ascii="仿宋_GB2312" w:hAnsi="仿宋_GB2312" w:eastAsia="仿宋_GB2312" w:cs="仿宋_GB2312"/>
          <w:color w:val="auto"/>
          <w:sz w:val="28"/>
          <w:szCs w:val="28"/>
          <w:highlight w:val="none"/>
          <w:lang w:val="en-US" w:eastAsia="zh-CN"/>
        </w:rPr>
        <w:t>0</w:t>
      </w:r>
      <w:r>
        <w:rPr>
          <w:rFonts w:hint="eastAsia" w:ascii="仿宋_GB2312" w:hAnsi="仿宋_GB2312" w:eastAsia="仿宋_GB2312" w:cs="仿宋_GB2312"/>
          <w:color w:val="auto"/>
          <w:sz w:val="28"/>
          <w:szCs w:val="28"/>
          <w:highlight w:val="none"/>
          <w:lang w:eastAsia="zh-CN"/>
        </w:rPr>
        <w:t>mm，</w:t>
      </w:r>
    </w:p>
    <w:p>
      <w:pPr>
        <w:spacing w:line="460" w:lineRule="exact"/>
        <w:ind w:firstLine="560" w:firstLineChars="200"/>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lang w:eastAsia="zh-CN"/>
        </w:rPr>
        <w:t>空气处理量不小于：230m³/h，</w:t>
      </w:r>
    </w:p>
    <w:p>
      <w:pPr>
        <w:spacing w:line="460" w:lineRule="exact"/>
        <w:ind w:firstLine="560" w:firstLineChars="200"/>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lang w:eastAsia="zh-CN"/>
        </w:rPr>
        <w:t>柜内体积不小于：0.55m³，</w:t>
      </w:r>
    </w:p>
    <w:p>
      <w:pPr>
        <w:spacing w:line="460" w:lineRule="exact"/>
        <w:ind w:firstLine="560" w:firstLineChars="200"/>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lang w:eastAsia="zh-CN"/>
        </w:rPr>
        <w:t>存储容量不小于：160瓶（500ml），</w:t>
      </w:r>
    </w:p>
    <w:p>
      <w:pPr>
        <w:spacing w:line="460" w:lineRule="exact"/>
        <w:ind w:firstLine="560" w:firstLineChars="200"/>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lang w:eastAsia="zh-CN"/>
        </w:rPr>
        <w:t>锁具：智能刷卡锁，</w:t>
      </w:r>
    </w:p>
    <w:p>
      <w:pPr>
        <w:spacing w:line="460" w:lineRule="exact"/>
        <w:ind w:firstLine="560" w:firstLineChars="200"/>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lang w:eastAsia="zh-CN"/>
        </w:rPr>
        <w:t>1</w:t>
      </w:r>
      <w:r>
        <w:rPr>
          <w:rFonts w:hint="eastAsia" w:ascii="仿宋_GB2312" w:hAnsi="仿宋_GB2312" w:eastAsia="仿宋_GB2312" w:cs="仿宋_GB2312"/>
          <w:color w:val="auto"/>
          <w:sz w:val="28"/>
          <w:szCs w:val="28"/>
          <w:highlight w:val="none"/>
          <w:lang w:val="en-US" w:eastAsia="zh-CN"/>
        </w:rPr>
        <w:t>7</w:t>
      </w:r>
      <w:r>
        <w:rPr>
          <w:rFonts w:hint="eastAsia" w:ascii="仿宋_GB2312" w:hAnsi="仿宋_GB2312" w:eastAsia="仿宋_GB2312" w:cs="仿宋_GB2312"/>
          <w:color w:val="auto"/>
          <w:sz w:val="28"/>
          <w:szCs w:val="28"/>
          <w:highlight w:val="none"/>
          <w:lang w:eastAsia="zh-CN"/>
        </w:rPr>
        <w:t>.2、过滤器不小于：</w:t>
      </w:r>
      <w:r>
        <w:rPr>
          <w:rFonts w:hint="eastAsia" w:ascii="仿宋_GB2312" w:hAnsi="仿宋_GB2312" w:eastAsia="仿宋_GB2312" w:cs="仿宋_GB2312"/>
          <w:color w:val="auto"/>
          <w:sz w:val="28"/>
          <w:szCs w:val="28"/>
          <w:highlight w:val="none"/>
          <w:lang w:val="en-US" w:eastAsia="zh-CN"/>
        </w:rPr>
        <w:t>2</w:t>
      </w:r>
      <w:r>
        <w:rPr>
          <w:rFonts w:hint="eastAsia" w:ascii="仿宋_GB2312" w:hAnsi="仿宋_GB2312" w:eastAsia="仿宋_GB2312" w:cs="仿宋_GB2312"/>
          <w:color w:val="auto"/>
          <w:sz w:val="28"/>
          <w:szCs w:val="28"/>
          <w:highlight w:val="none"/>
          <w:lang w:eastAsia="zh-CN"/>
        </w:rPr>
        <w:t>组，</w:t>
      </w:r>
    </w:p>
    <w:p>
      <w:pPr>
        <w:spacing w:line="460" w:lineRule="exact"/>
        <w:ind w:firstLine="560" w:firstLineChars="200"/>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lang w:eastAsia="zh-CN"/>
        </w:rPr>
        <w:t>1</w:t>
      </w:r>
      <w:r>
        <w:rPr>
          <w:rFonts w:hint="eastAsia" w:ascii="仿宋_GB2312" w:hAnsi="仿宋_GB2312" w:eastAsia="仿宋_GB2312" w:cs="仿宋_GB2312"/>
          <w:color w:val="auto"/>
          <w:sz w:val="28"/>
          <w:szCs w:val="28"/>
          <w:highlight w:val="none"/>
          <w:lang w:val="en-US" w:eastAsia="zh-CN"/>
        </w:rPr>
        <w:t>7</w:t>
      </w:r>
      <w:r>
        <w:rPr>
          <w:rFonts w:hint="eastAsia" w:ascii="仿宋_GB2312" w:hAnsi="仿宋_GB2312" w:eastAsia="仿宋_GB2312" w:cs="仿宋_GB2312"/>
          <w:color w:val="auto"/>
          <w:sz w:val="28"/>
          <w:szCs w:val="28"/>
          <w:highlight w:val="none"/>
          <w:lang w:eastAsia="zh-CN"/>
        </w:rPr>
        <w:t>.3、初效过滤器不小于：</w:t>
      </w:r>
      <w:r>
        <w:rPr>
          <w:rFonts w:hint="eastAsia" w:ascii="仿宋_GB2312" w:hAnsi="仿宋_GB2312" w:eastAsia="仿宋_GB2312" w:cs="仿宋_GB2312"/>
          <w:color w:val="auto"/>
          <w:sz w:val="28"/>
          <w:szCs w:val="28"/>
          <w:highlight w:val="none"/>
          <w:lang w:val="en-US" w:eastAsia="zh-CN"/>
        </w:rPr>
        <w:t>1</w:t>
      </w:r>
      <w:r>
        <w:rPr>
          <w:rFonts w:hint="eastAsia" w:ascii="仿宋_GB2312" w:hAnsi="仿宋_GB2312" w:eastAsia="仿宋_GB2312" w:cs="仿宋_GB2312"/>
          <w:color w:val="auto"/>
          <w:sz w:val="28"/>
          <w:szCs w:val="28"/>
          <w:highlight w:val="none"/>
          <w:lang w:eastAsia="zh-CN"/>
        </w:rPr>
        <w:t>个，</w:t>
      </w:r>
    </w:p>
    <w:p>
      <w:pPr>
        <w:spacing w:line="460" w:lineRule="exact"/>
        <w:ind w:firstLine="560" w:firstLineChars="200"/>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lang w:eastAsia="zh-CN"/>
        </w:rPr>
        <w:t>1</w:t>
      </w:r>
      <w:r>
        <w:rPr>
          <w:rFonts w:hint="eastAsia" w:ascii="仿宋_GB2312" w:hAnsi="仿宋_GB2312" w:eastAsia="仿宋_GB2312" w:cs="仿宋_GB2312"/>
          <w:color w:val="auto"/>
          <w:sz w:val="28"/>
          <w:szCs w:val="28"/>
          <w:highlight w:val="none"/>
          <w:lang w:val="en-US" w:eastAsia="zh-CN"/>
        </w:rPr>
        <w:t>7</w:t>
      </w:r>
      <w:r>
        <w:rPr>
          <w:rFonts w:hint="eastAsia" w:ascii="仿宋_GB2312" w:hAnsi="仿宋_GB2312" w:eastAsia="仿宋_GB2312" w:cs="仿宋_GB2312"/>
          <w:color w:val="auto"/>
          <w:sz w:val="28"/>
          <w:szCs w:val="28"/>
          <w:highlight w:val="none"/>
          <w:lang w:eastAsia="zh-CN"/>
        </w:rPr>
        <w:t>.4、风机不小于：</w:t>
      </w:r>
      <w:r>
        <w:rPr>
          <w:rFonts w:hint="eastAsia" w:ascii="仿宋_GB2312" w:hAnsi="仿宋_GB2312" w:eastAsia="仿宋_GB2312" w:cs="仿宋_GB2312"/>
          <w:color w:val="auto"/>
          <w:sz w:val="28"/>
          <w:szCs w:val="28"/>
          <w:highlight w:val="none"/>
          <w:lang w:val="en-US" w:eastAsia="zh-CN"/>
        </w:rPr>
        <w:t>1</w:t>
      </w:r>
      <w:r>
        <w:rPr>
          <w:rFonts w:hint="eastAsia" w:ascii="仿宋_GB2312" w:hAnsi="仿宋_GB2312" w:eastAsia="仿宋_GB2312" w:cs="仿宋_GB2312"/>
          <w:color w:val="auto"/>
          <w:sz w:val="28"/>
          <w:szCs w:val="28"/>
          <w:highlight w:val="none"/>
          <w:lang w:eastAsia="zh-CN"/>
        </w:rPr>
        <w:t>个，</w:t>
      </w:r>
    </w:p>
    <w:p>
      <w:pPr>
        <w:spacing w:line="460" w:lineRule="exact"/>
        <w:ind w:firstLine="560" w:firstLineChars="200"/>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lang w:eastAsia="zh-CN"/>
        </w:rPr>
        <w:t>1</w:t>
      </w:r>
      <w:r>
        <w:rPr>
          <w:rFonts w:hint="eastAsia" w:ascii="仿宋_GB2312" w:hAnsi="仿宋_GB2312" w:eastAsia="仿宋_GB2312" w:cs="仿宋_GB2312"/>
          <w:color w:val="auto"/>
          <w:sz w:val="28"/>
          <w:szCs w:val="28"/>
          <w:highlight w:val="none"/>
          <w:lang w:val="en-US" w:eastAsia="zh-CN"/>
        </w:rPr>
        <w:t>7</w:t>
      </w:r>
      <w:r>
        <w:rPr>
          <w:rFonts w:hint="eastAsia" w:ascii="仿宋_GB2312" w:hAnsi="仿宋_GB2312" w:eastAsia="仿宋_GB2312" w:cs="仿宋_GB2312"/>
          <w:color w:val="auto"/>
          <w:sz w:val="28"/>
          <w:szCs w:val="28"/>
          <w:highlight w:val="none"/>
          <w:lang w:eastAsia="zh-CN"/>
        </w:rPr>
        <w:t>.5、控制系统：</w:t>
      </w:r>
      <w:r>
        <w:rPr>
          <w:rFonts w:hint="eastAsia" w:ascii="仿宋_GB2312" w:hAnsi="仿宋_GB2312" w:eastAsia="仿宋_GB2312" w:cs="仿宋_GB2312"/>
          <w:color w:val="auto"/>
          <w:sz w:val="28"/>
          <w:szCs w:val="28"/>
          <w:highlight w:val="none"/>
          <w:lang w:val="en-US" w:eastAsia="zh-CN"/>
        </w:rPr>
        <w:t>1</w:t>
      </w:r>
      <w:r>
        <w:rPr>
          <w:rFonts w:hint="eastAsia" w:ascii="仿宋_GB2312" w:hAnsi="仿宋_GB2312" w:eastAsia="仿宋_GB2312" w:cs="仿宋_GB2312"/>
          <w:color w:val="auto"/>
          <w:sz w:val="28"/>
          <w:szCs w:val="28"/>
          <w:highlight w:val="none"/>
          <w:lang w:eastAsia="zh-CN"/>
        </w:rPr>
        <w:t>套，</w:t>
      </w:r>
    </w:p>
    <w:p>
      <w:pPr>
        <w:spacing w:line="460" w:lineRule="exact"/>
        <w:ind w:firstLine="560" w:firstLineChars="200"/>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lang w:eastAsia="zh-CN"/>
        </w:rPr>
        <w:t>1</w:t>
      </w:r>
      <w:r>
        <w:rPr>
          <w:rFonts w:hint="eastAsia" w:ascii="仿宋_GB2312" w:hAnsi="仿宋_GB2312" w:eastAsia="仿宋_GB2312" w:cs="仿宋_GB2312"/>
          <w:color w:val="auto"/>
          <w:sz w:val="28"/>
          <w:szCs w:val="28"/>
          <w:highlight w:val="none"/>
          <w:lang w:val="en-US" w:eastAsia="zh-CN"/>
        </w:rPr>
        <w:t>7</w:t>
      </w: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lang w:val="en-US" w:eastAsia="zh-CN"/>
        </w:rPr>
        <w:t>6</w:t>
      </w:r>
      <w:r>
        <w:rPr>
          <w:rFonts w:hint="eastAsia" w:ascii="仿宋_GB2312" w:hAnsi="仿宋_GB2312" w:eastAsia="仿宋_GB2312" w:cs="仿宋_GB2312"/>
          <w:color w:val="auto"/>
          <w:sz w:val="28"/>
          <w:szCs w:val="28"/>
          <w:highlight w:val="none"/>
          <w:lang w:eastAsia="zh-CN"/>
        </w:rPr>
        <w:t>、VOC报警系统：</w:t>
      </w:r>
      <w:r>
        <w:rPr>
          <w:rFonts w:hint="eastAsia" w:ascii="仿宋_GB2312" w:hAnsi="仿宋_GB2312" w:eastAsia="仿宋_GB2312" w:cs="仿宋_GB2312"/>
          <w:color w:val="auto"/>
          <w:sz w:val="28"/>
          <w:szCs w:val="28"/>
          <w:highlight w:val="none"/>
          <w:lang w:val="en-US" w:eastAsia="zh-CN"/>
        </w:rPr>
        <w:t>1</w:t>
      </w:r>
      <w:r>
        <w:rPr>
          <w:rFonts w:hint="eastAsia" w:ascii="仿宋_GB2312" w:hAnsi="仿宋_GB2312" w:eastAsia="仿宋_GB2312" w:cs="仿宋_GB2312"/>
          <w:color w:val="auto"/>
          <w:sz w:val="28"/>
          <w:szCs w:val="28"/>
          <w:highlight w:val="none"/>
          <w:lang w:eastAsia="zh-CN"/>
        </w:rPr>
        <w:t>个，</w:t>
      </w:r>
    </w:p>
    <w:p>
      <w:pPr>
        <w:spacing w:line="460" w:lineRule="exact"/>
        <w:ind w:firstLine="560" w:firstLineChars="200"/>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lang w:eastAsia="zh-CN"/>
        </w:rPr>
        <w:t>1</w:t>
      </w:r>
      <w:r>
        <w:rPr>
          <w:rFonts w:hint="eastAsia" w:ascii="仿宋_GB2312" w:hAnsi="仿宋_GB2312" w:eastAsia="仿宋_GB2312" w:cs="仿宋_GB2312"/>
          <w:color w:val="auto"/>
          <w:sz w:val="28"/>
          <w:szCs w:val="28"/>
          <w:highlight w:val="none"/>
          <w:lang w:val="en-US" w:eastAsia="zh-CN"/>
        </w:rPr>
        <w:t>7</w:t>
      </w: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lang w:val="en-US" w:eastAsia="zh-CN"/>
        </w:rPr>
        <w:t>7</w:t>
      </w:r>
      <w:r>
        <w:rPr>
          <w:rFonts w:hint="eastAsia" w:ascii="仿宋_GB2312" w:hAnsi="仿宋_GB2312" w:eastAsia="仿宋_GB2312" w:cs="仿宋_GB2312"/>
          <w:color w:val="auto"/>
          <w:sz w:val="28"/>
          <w:szCs w:val="28"/>
          <w:highlight w:val="none"/>
          <w:lang w:eastAsia="zh-CN"/>
        </w:rPr>
        <w:t>、温湿度报警系统：</w:t>
      </w:r>
      <w:r>
        <w:rPr>
          <w:rFonts w:hint="eastAsia" w:ascii="仿宋_GB2312" w:hAnsi="仿宋_GB2312" w:eastAsia="仿宋_GB2312" w:cs="仿宋_GB2312"/>
          <w:color w:val="auto"/>
          <w:sz w:val="28"/>
          <w:szCs w:val="28"/>
          <w:highlight w:val="none"/>
          <w:lang w:val="en-US" w:eastAsia="zh-CN"/>
        </w:rPr>
        <w:t>1</w:t>
      </w:r>
      <w:r>
        <w:rPr>
          <w:rFonts w:hint="eastAsia" w:ascii="仿宋_GB2312" w:hAnsi="仿宋_GB2312" w:eastAsia="仿宋_GB2312" w:cs="仿宋_GB2312"/>
          <w:color w:val="auto"/>
          <w:sz w:val="28"/>
          <w:szCs w:val="28"/>
          <w:highlight w:val="none"/>
          <w:lang w:eastAsia="zh-CN"/>
        </w:rPr>
        <w:t>套，</w:t>
      </w:r>
    </w:p>
    <w:p>
      <w:pPr>
        <w:spacing w:line="460" w:lineRule="exact"/>
        <w:ind w:firstLine="560" w:firstLineChars="200"/>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lang w:eastAsia="zh-CN"/>
        </w:rPr>
        <w:t>1</w:t>
      </w:r>
      <w:r>
        <w:rPr>
          <w:rFonts w:hint="eastAsia" w:ascii="仿宋_GB2312" w:hAnsi="仿宋_GB2312" w:eastAsia="仿宋_GB2312" w:cs="仿宋_GB2312"/>
          <w:color w:val="auto"/>
          <w:sz w:val="28"/>
          <w:szCs w:val="28"/>
          <w:highlight w:val="none"/>
          <w:lang w:val="en-US" w:eastAsia="zh-CN"/>
        </w:rPr>
        <w:t>7</w:t>
      </w: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lang w:val="en-US" w:eastAsia="zh-CN"/>
        </w:rPr>
        <w:t>8</w:t>
      </w:r>
      <w:r>
        <w:rPr>
          <w:rFonts w:hint="eastAsia" w:ascii="仿宋_GB2312" w:hAnsi="仿宋_GB2312" w:eastAsia="仿宋_GB2312" w:cs="仿宋_GB2312"/>
          <w:color w:val="auto"/>
          <w:sz w:val="28"/>
          <w:szCs w:val="28"/>
          <w:highlight w:val="none"/>
          <w:lang w:eastAsia="zh-CN"/>
        </w:rPr>
        <w:t>、电源线：</w:t>
      </w:r>
      <w:r>
        <w:rPr>
          <w:rFonts w:hint="eastAsia" w:ascii="仿宋_GB2312" w:hAnsi="仿宋_GB2312" w:eastAsia="仿宋_GB2312" w:cs="仿宋_GB2312"/>
          <w:color w:val="auto"/>
          <w:sz w:val="28"/>
          <w:szCs w:val="28"/>
          <w:highlight w:val="none"/>
          <w:lang w:val="en-US" w:eastAsia="zh-CN"/>
        </w:rPr>
        <w:t>1</w:t>
      </w:r>
      <w:bookmarkStart w:id="1" w:name="_GoBack"/>
      <w:bookmarkEnd w:id="1"/>
      <w:r>
        <w:rPr>
          <w:rFonts w:hint="eastAsia" w:ascii="仿宋_GB2312" w:hAnsi="仿宋_GB2312" w:eastAsia="仿宋_GB2312" w:cs="仿宋_GB2312"/>
          <w:color w:val="auto"/>
          <w:sz w:val="28"/>
          <w:szCs w:val="28"/>
          <w:highlight w:val="none"/>
          <w:lang w:eastAsia="zh-CN"/>
        </w:rPr>
        <w:t>根，</w:t>
      </w:r>
    </w:p>
    <w:p>
      <w:pPr>
        <w:pStyle w:val="3"/>
        <w:spacing w:before="0" w:after="0" w:line="460" w:lineRule="exact"/>
        <w:ind w:firstLine="560" w:firstLineChars="200"/>
        <w:rPr>
          <w:rFonts w:hint="eastAsia" w:ascii="黑体" w:hAnsi="黑体" w:eastAsia="黑体"/>
          <w:b w:val="0"/>
          <w:bCs w:val="0"/>
          <w:color w:val="auto"/>
          <w:sz w:val="28"/>
          <w:highlight w:val="none"/>
          <w:lang w:eastAsia="zh-CN"/>
        </w:rPr>
      </w:pPr>
      <w:r>
        <w:rPr>
          <w:rFonts w:hint="eastAsia" w:ascii="黑体" w:hAnsi="黑体" w:eastAsia="黑体"/>
          <w:b w:val="0"/>
          <w:bCs w:val="0"/>
          <w:color w:val="auto"/>
          <w:sz w:val="28"/>
          <w:highlight w:val="none"/>
          <w:lang w:eastAsia="zh-CN"/>
        </w:rPr>
        <w:t>三.售后服务</w:t>
      </w:r>
    </w:p>
    <w:p>
      <w:pPr>
        <w:widowControl w:val="0"/>
        <w:spacing w:line="460" w:lineRule="exact"/>
        <w:ind w:firstLine="560" w:firstLineChars="200"/>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lang w:eastAsia="zh-CN"/>
        </w:rPr>
        <w:t>1供货期限：合同签订后</w:t>
      </w:r>
      <w:r>
        <w:rPr>
          <w:rFonts w:hint="eastAsia" w:ascii="仿宋_GB2312" w:hAnsi="仿宋_GB2312" w:eastAsia="仿宋_GB2312" w:cs="仿宋_GB2312"/>
          <w:color w:val="auto"/>
          <w:sz w:val="28"/>
          <w:szCs w:val="28"/>
          <w:highlight w:val="none"/>
          <w:lang w:val="en-US" w:eastAsia="zh-CN"/>
        </w:rPr>
        <w:t>20</w:t>
      </w:r>
      <w:r>
        <w:rPr>
          <w:rFonts w:hint="eastAsia" w:ascii="仿宋_GB2312" w:hAnsi="仿宋_GB2312" w:eastAsia="仿宋_GB2312" w:cs="仿宋_GB2312"/>
          <w:color w:val="auto"/>
          <w:sz w:val="28"/>
          <w:szCs w:val="28"/>
          <w:highlight w:val="none"/>
          <w:lang w:eastAsia="zh-CN"/>
        </w:rPr>
        <w:t>天。</w:t>
      </w:r>
    </w:p>
    <w:p>
      <w:pPr>
        <w:widowControl w:val="0"/>
        <w:spacing w:line="460" w:lineRule="exact"/>
        <w:ind w:firstLine="560" w:firstLineChars="200"/>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lang w:eastAsia="zh-CN"/>
        </w:rPr>
        <w:t>2质保：设备质保期一年，验收通过之日起算，并提供一年活性炭更换服务。</w:t>
      </w:r>
    </w:p>
    <w:p>
      <w:pPr>
        <w:widowControl w:val="0"/>
        <w:spacing w:line="460" w:lineRule="exact"/>
        <w:ind w:firstLine="560" w:firstLineChars="200"/>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lang w:eastAsia="zh-CN"/>
        </w:rPr>
        <w:t>3售后：</w:t>
      </w:r>
    </w:p>
    <w:p>
      <w:pPr>
        <w:widowControl w:val="0"/>
        <w:spacing w:line="460" w:lineRule="exact"/>
        <w:ind w:firstLine="560" w:firstLineChars="200"/>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lang w:eastAsia="zh-CN"/>
        </w:rPr>
        <w:t>(1)响应时间：在接到用户电话或书面通知后2小时内给予答复，紧急问题应在24小时内抵达现场。</w:t>
      </w:r>
    </w:p>
    <w:p>
      <w:pPr>
        <w:widowControl w:val="0"/>
        <w:spacing w:line="460" w:lineRule="exact"/>
        <w:ind w:firstLine="560" w:firstLineChars="200"/>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lang w:eastAsia="zh-CN"/>
        </w:rPr>
        <w:t>(2)技术服务的范围及内容：卖方须到买方提供的现场免费进行安装调试，进行操作试验，直至运行正常，确保仪器技术指标验收合格。</w:t>
      </w:r>
    </w:p>
    <w:p>
      <w:pPr>
        <w:widowControl w:val="0"/>
        <w:spacing w:line="460" w:lineRule="exact"/>
        <w:ind w:firstLine="560" w:firstLineChars="200"/>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lang w:eastAsia="zh-CN"/>
        </w:rPr>
        <w:t>(3)对用户仪器操作人员提供免费的操作及现场维护培训。</w:t>
      </w:r>
    </w:p>
    <w:p>
      <w:pPr>
        <w:widowControl w:val="0"/>
        <w:spacing w:line="460" w:lineRule="exact"/>
        <w:ind w:firstLine="560" w:firstLineChars="200"/>
        <w:rPr>
          <w:rFonts w:hint="eastAsia" w:ascii="黑体" w:hAnsi="黑体" w:eastAsia="黑体" w:cs="黑体"/>
          <w:color w:val="auto"/>
          <w:sz w:val="28"/>
          <w:szCs w:val="28"/>
          <w:highlight w:val="none"/>
          <w:lang w:eastAsia="zh-CN"/>
        </w:rPr>
      </w:pPr>
      <w:r>
        <w:rPr>
          <w:rFonts w:hint="eastAsia" w:ascii="黑体" w:hAnsi="黑体" w:eastAsia="黑体" w:cs="黑体"/>
          <w:color w:val="auto"/>
          <w:sz w:val="28"/>
          <w:szCs w:val="28"/>
          <w:highlight w:val="none"/>
          <w:lang w:eastAsia="zh-CN"/>
        </w:rPr>
        <w:t>三、其他须知事项</w:t>
      </w:r>
    </w:p>
    <w:p>
      <w:pPr>
        <w:widowControl w:val="0"/>
        <w:spacing w:line="460" w:lineRule="exact"/>
        <w:ind w:firstLine="560" w:firstLineChars="200"/>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lang w:eastAsia="zh-CN"/>
        </w:rPr>
        <w:t>异常低价的甄别</w:t>
      </w:r>
    </w:p>
    <w:p>
      <w:pPr>
        <w:widowControl w:val="0"/>
        <w:spacing w:line="460" w:lineRule="exact"/>
        <w:ind w:firstLine="560" w:firstLineChars="200"/>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lang w:eastAsia="zh-CN"/>
        </w:rPr>
        <w:t>投标（响应）报价出现下列情形之一的，甲方应当启动异常低价投标（响应）审查程序：</w:t>
      </w:r>
    </w:p>
    <w:p>
      <w:pPr>
        <w:widowControl w:val="0"/>
        <w:spacing w:line="460" w:lineRule="exact"/>
        <w:ind w:firstLine="560" w:firstLineChars="200"/>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lang w:eastAsia="zh-CN"/>
        </w:rPr>
        <w:t>①投标（响应）报价低于全部通过符合性审查供应商投标（响应）报价平均值</w:t>
      </w:r>
      <w:r>
        <w:rPr>
          <w:rFonts w:hint="eastAsia" w:ascii="仿宋_GB2312" w:hAnsi="仿宋_GB2312" w:eastAsia="仿宋_GB2312" w:cs="仿宋_GB2312"/>
          <w:b w:val="0"/>
          <w:bCs w:val="0"/>
          <w:i w:val="0"/>
          <w:iCs w:val="0"/>
          <w:caps w:val="0"/>
          <w:color w:val="auto"/>
          <w:spacing w:val="0"/>
          <w:sz w:val="28"/>
          <w:szCs w:val="28"/>
          <w:highlight w:val="none"/>
          <w:shd w:val="clear" w:color="auto" w:fill="FFFFFF"/>
          <w:lang w:val="en-US" w:eastAsia="zh-CN"/>
        </w:rPr>
        <w:t>50%</w:t>
      </w:r>
      <w:r>
        <w:rPr>
          <w:rFonts w:hint="eastAsia" w:ascii="仿宋_GB2312" w:hAnsi="仿宋_GB2312" w:eastAsia="仿宋_GB2312" w:cs="仿宋_GB2312"/>
          <w:color w:val="auto"/>
          <w:sz w:val="28"/>
          <w:szCs w:val="28"/>
          <w:highlight w:val="none"/>
          <w:lang w:eastAsia="zh-CN"/>
        </w:rPr>
        <w:t>的，即投标（响应）报价&lt;全部通过符合性审查供应商投标（响应）报价平均值×</w:t>
      </w:r>
      <w:r>
        <w:rPr>
          <w:rFonts w:hint="eastAsia" w:ascii="仿宋_GB2312" w:hAnsi="仿宋_GB2312" w:eastAsia="仿宋_GB2312" w:cs="仿宋_GB2312"/>
          <w:b w:val="0"/>
          <w:bCs w:val="0"/>
          <w:i w:val="0"/>
          <w:iCs w:val="0"/>
          <w:caps w:val="0"/>
          <w:color w:val="auto"/>
          <w:spacing w:val="0"/>
          <w:sz w:val="28"/>
          <w:szCs w:val="28"/>
          <w:highlight w:val="none"/>
          <w:shd w:val="clear" w:color="auto" w:fill="FFFFFF"/>
          <w:lang w:val="en-US" w:eastAsia="zh-CN"/>
        </w:rPr>
        <w:t>50%</w:t>
      </w:r>
      <w:r>
        <w:rPr>
          <w:rFonts w:hint="eastAsia" w:ascii="仿宋_GB2312" w:hAnsi="仿宋_GB2312" w:eastAsia="仿宋_GB2312" w:cs="仿宋_GB2312"/>
          <w:color w:val="auto"/>
          <w:sz w:val="28"/>
          <w:szCs w:val="28"/>
          <w:highlight w:val="none"/>
          <w:lang w:eastAsia="zh-CN"/>
        </w:rPr>
        <w:t>；</w:t>
      </w:r>
    </w:p>
    <w:p>
      <w:pPr>
        <w:widowControl w:val="0"/>
        <w:spacing w:line="460" w:lineRule="exact"/>
        <w:ind w:firstLine="560" w:firstLineChars="200"/>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lang w:eastAsia="zh-CN"/>
        </w:rPr>
        <w:t>②投标（响应）报价低于通过符合性审查的次低报价供应商投标（响应）报价</w:t>
      </w:r>
      <w:r>
        <w:rPr>
          <w:rFonts w:hint="eastAsia" w:ascii="仿宋_GB2312" w:hAnsi="仿宋_GB2312" w:eastAsia="仿宋_GB2312" w:cs="仿宋_GB2312"/>
          <w:b w:val="0"/>
          <w:bCs w:val="0"/>
          <w:i w:val="0"/>
          <w:iCs w:val="0"/>
          <w:caps w:val="0"/>
          <w:color w:val="auto"/>
          <w:spacing w:val="0"/>
          <w:sz w:val="28"/>
          <w:szCs w:val="28"/>
          <w:highlight w:val="none"/>
          <w:shd w:val="clear" w:color="auto" w:fill="FFFFFF"/>
          <w:lang w:val="en-US" w:eastAsia="zh-CN"/>
        </w:rPr>
        <w:t>50%</w:t>
      </w:r>
      <w:r>
        <w:rPr>
          <w:rFonts w:hint="eastAsia" w:ascii="仿宋_GB2312" w:hAnsi="仿宋_GB2312" w:eastAsia="仿宋_GB2312" w:cs="仿宋_GB2312"/>
          <w:color w:val="auto"/>
          <w:sz w:val="28"/>
          <w:szCs w:val="28"/>
          <w:highlight w:val="none"/>
          <w:lang w:eastAsia="zh-CN"/>
        </w:rPr>
        <w:t>的，即投标（响应）报价&lt;通过符合性审查的次低报价供应商投标（响应）报价×</w:t>
      </w:r>
      <w:r>
        <w:rPr>
          <w:rFonts w:hint="eastAsia" w:ascii="仿宋_GB2312" w:hAnsi="仿宋_GB2312" w:eastAsia="仿宋_GB2312" w:cs="仿宋_GB2312"/>
          <w:b w:val="0"/>
          <w:bCs w:val="0"/>
          <w:i w:val="0"/>
          <w:iCs w:val="0"/>
          <w:caps w:val="0"/>
          <w:color w:val="auto"/>
          <w:spacing w:val="0"/>
          <w:sz w:val="28"/>
          <w:szCs w:val="28"/>
          <w:highlight w:val="none"/>
          <w:shd w:val="clear" w:color="auto" w:fill="FFFFFF"/>
          <w:lang w:val="en-US" w:eastAsia="zh-CN"/>
        </w:rPr>
        <w:t>50%</w:t>
      </w:r>
      <w:r>
        <w:rPr>
          <w:rFonts w:hint="eastAsia" w:ascii="仿宋_GB2312" w:hAnsi="仿宋_GB2312" w:eastAsia="仿宋_GB2312" w:cs="仿宋_GB2312"/>
          <w:color w:val="auto"/>
          <w:sz w:val="28"/>
          <w:szCs w:val="28"/>
          <w:highlight w:val="none"/>
          <w:lang w:eastAsia="zh-CN"/>
        </w:rPr>
        <w:t>；</w:t>
      </w:r>
    </w:p>
    <w:p>
      <w:pPr>
        <w:widowControl w:val="0"/>
        <w:spacing w:line="460" w:lineRule="exact"/>
        <w:ind w:firstLine="560" w:firstLineChars="200"/>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lang w:eastAsia="zh-CN"/>
        </w:rPr>
        <w:t>③投标（响应）报价低于采购项目最高限价45%的，即投标（响应）报价&lt;采购项目最高限价×45%；</w:t>
      </w:r>
    </w:p>
    <w:p>
      <w:pPr>
        <w:widowControl w:val="0"/>
        <w:spacing w:line="460" w:lineRule="exact"/>
        <w:ind w:firstLine="560" w:firstLineChars="200"/>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lang w:eastAsia="zh-CN"/>
        </w:rPr>
        <w:t>④评审委员会基于专业判断，认为供应商报价过低，有可能影响产品质量或者不能诚信履约的其他情形。</w:t>
      </w:r>
    </w:p>
    <w:p>
      <w:pPr>
        <w:widowControl w:val="0"/>
        <w:spacing w:line="460" w:lineRule="exact"/>
        <w:ind w:firstLine="560" w:firstLineChars="200"/>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lang w:eastAsia="zh-CN"/>
        </w:rPr>
        <w:t>甲方启动异常低价投标（响应）审查后，相关供应商自接到评标委员会的澄清要求后30分钟内对投标（响应）价格作出解释，并提供项目具体成本测算等与报价合理性相关的书面说明及必要的证明材料，包括但不限于原材料成本、人工成本、制造费用等。</w:t>
      </w:r>
    </w:p>
    <w:p>
      <w:pPr>
        <w:pStyle w:val="3"/>
        <w:spacing w:before="0" w:after="0" w:line="460" w:lineRule="exact"/>
        <w:ind w:firstLine="562" w:firstLineChars="200"/>
        <w:rPr>
          <w:rFonts w:hint="eastAsia" w:ascii="黑体" w:hAnsi="黑体" w:eastAsia="黑体" w:cs="黑体"/>
          <w:b w:val="0"/>
          <w:bCs w:val="0"/>
          <w:color w:val="auto"/>
          <w:sz w:val="28"/>
          <w:highlight w:val="none"/>
          <w:lang w:eastAsia="zh-CN"/>
        </w:rPr>
      </w:pPr>
      <w:r>
        <w:rPr>
          <w:rFonts w:hint="eastAsia" w:ascii="仿宋_GB2312" w:hAnsi="仿宋_GB2312" w:eastAsia="仿宋_GB2312" w:cs="仿宋_GB2312"/>
          <w:color w:val="auto"/>
          <w:sz w:val="28"/>
          <w:highlight w:val="none"/>
          <w:lang w:eastAsia="zh-CN"/>
        </w:rPr>
        <w:t>甲方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pPr>
        <w:widowControl w:val="0"/>
        <w:spacing w:line="460" w:lineRule="exact"/>
        <w:ind w:firstLine="560" w:firstLineChars="200"/>
        <w:rPr>
          <w:rFonts w:hint="eastAsia" w:ascii="黑体" w:hAnsi="黑体" w:eastAsia="黑体" w:cs="黑体"/>
          <w:color w:val="auto"/>
          <w:sz w:val="28"/>
          <w:szCs w:val="28"/>
          <w:highlight w:val="none"/>
          <w:lang w:eastAsia="zh-CN"/>
        </w:rPr>
      </w:pPr>
      <w:r>
        <w:rPr>
          <w:rFonts w:hint="eastAsia" w:ascii="黑体" w:hAnsi="黑体" w:eastAsia="黑体" w:cs="黑体"/>
          <w:color w:val="auto"/>
          <w:sz w:val="28"/>
          <w:szCs w:val="28"/>
          <w:highlight w:val="none"/>
          <w:lang w:eastAsia="zh-CN"/>
        </w:rPr>
        <w:t>四、</w:t>
      </w:r>
      <w:bookmarkEnd w:id="0"/>
      <w:r>
        <w:rPr>
          <w:rFonts w:hint="eastAsia" w:ascii="黑体" w:hAnsi="黑体" w:eastAsia="黑体" w:cs="黑体"/>
          <w:color w:val="auto"/>
          <w:sz w:val="28"/>
          <w:szCs w:val="28"/>
          <w:highlight w:val="none"/>
          <w:lang w:eastAsia="zh-CN"/>
        </w:rPr>
        <w:t>响应技术偏离表</w:t>
      </w:r>
    </w:p>
    <w:tbl>
      <w:tblPr>
        <w:tblStyle w:val="4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8"/>
        <w:gridCol w:w="1429"/>
        <w:gridCol w:w="1878"/>
        <w:gridCol w:w="1864"/>
        <w:gridCol w:w="1216"/>
        <w:gridCol w:w="13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8" w:type="dxa"/>
            <w:tcBorders>
              <w:top w:val="single" w:color="auto" w:sz="4" w:space="0"/>
              <w:left w:val="single" w:color="auto" w:sz="4" w:space="0"/>
              <w:bottom w:val="single" w:color="auto" w:sz="4" w:space="0"/>
              <w:right w:val="single" w:color="auto" w:sz="4" w:space="0"/>
            </w:tcBorders>
          </w:tcPr>
          <w:p>
            <w:pPr>
              <w:pStyle w:val="27"/>
              <w:widowControl w:val="0"/>
              <w:tabs>
                <w:tab w:val="center" w:pos="4140"/>
                <w:tab w:val="right" w:pos="8300"/>
                <w:tab w:val="clear" w:pos="4680"/>
                <w:tab w:val="clear" w:pos="9360"/>
              </w:tabs>
              <w:snapToGrid w:val="0"/>
              <w:spacing w:line="300" w:lineRule="exact"/>
              <w:rPr>
                <w:rFonts w:hint="eastAsia" w:ascii="仿宋_GB2312" w:hAnsi="仿宋_GB2312" w:eastAsia="仿宋_GB2312" w:cs="仿宋_GB2312"/>
                <w:b/>
                <w:bCs/>
                <w:color w:val="auto"/>
                <w:szCs w:val="24"/>
                <w:highlight w:val="none"/>
                <w:lang w:eastAsia="zh-CN"/>
              </w:rPr>
            </w:pPr>
            <w:r>
              <w:rPr>
                <w:rFonts w:hint="eastAsia" w:ascii="仿宋_GB2312" w:hAnsi="仿宋_GB2312" w:eastAsia="仿宋_GB2312" w:cs="仿宋_GB2312"/>
                <w:b/>
                <w:bCs/>
                <w:color w:val="auto"/>
                <w:szCs w:val="24"/>
                <w:highlight w:val="none"/>
                <w:lang w:eastAsia="zh-CN"/>
              </w:rPr>
              <w:t>序号</w:t>
            </w:r>
          </w:p>
        </w:tc>
        <w:tc>
          <w:tcPr>
            <w:tcW w:w="1429" w:type="dxa"/>
            <w:tcBorders>
              <w:top w:val="single" w:color="auto" w:sz="4" w:space="0"/>
              <w:left w:val="single" w:color="auto" w:sz="4" w:space="0"/>
              <w:bottom w:val="single" w:color="auto" w:sz="4" w:space="0"/>
              <w:right w:val="single" w:color="auto" w:sz="4" w:space="0"/>
            </w:tcBorders>
          </w:tcPr>
          <w:p>
            <w:pPr>
              <w:pStyle w:val="27"/>
              <w:widowControl w:val="0"/>
              <w:tabs>
                <w:tab w:val="center" w:pos="4140"/>
                <w:tab w:val="right" w:pos="8300"/>
                <w:tab w:val="clear" w:pos="4680"/>
                <w:tab w:val="clear" w:pos="9360"/>
              </w:tabs>
              <w:snapToGrid w:val="0"/>
              <w:spacing w:line="300" w:lineRule="exact"/>
              <w:rPr>
                <w:rFonts w:hint="eastAsia" w:ascii="仿宋_GB2312" w:hAnsi="仿宋_GB2312" w:eastAsia="仿宋_GB2312" w:cs="仿宋_GB2312"/>
                <w:b/>
                <w:bCs/>
                <w:color w:val="auto"/>
                <w:szCs w:val="24"/>
                <w:highlight w:val="none"/>
                <w:lang w:eastAsia="zh-CN"/>
              </w:rPr>
            </w:pPr>
            <w:r>
              <w:rPr>
                <w:rFonts w:hint="eastAsia" w:ascii="仿宋_GB2312" w:hAnsi="仿宋_GB2312" w:eastAsia="仿宋_GB2312" w:cs="仿宋_GB2312"/>
                <w:b/>
                <w:bCs/>
                <w:color w:val="auto"/>
                <w:szCs w:val="24"/>
                <w:highlight w:val="none"/>
                <w:lang w:eastAsia="zh-CN"/>
              </w:rPr>
              <w:t>产品名称</w:t>
            </w:r>
          </w:p>
        </w:tc>
        <w:tc>
          <w:tcPr>
            <w:tcW w:w="1878" w:type="dxa"/>
            <w:tcBorders>
              <w:top w:val="single" w:color="auto" w:sz="4" w:space="0"/>
              <w:left w:val="single" w:color="auto" w:sz="4" w:space="0"/>
              <w:bottom w:val="single" w:color="auto" w:sz="4" w:space="0"/>
              <w:right w:val="single" w:color="auto" w:sz="4" w:space="0"/>
            </w:tcBorders>
          </w:tcPr>
          <w:p>
            <w:pPr>
              <w:pStyle w:val="27"/>
              <w:widowControl w:val="0"/>
              <w:tabs>
                <w:tab w:val="center" w:pos="4140"/>
                <w:tab w:val="right" w:pos="8300"/>
                <w:tab w:val="clear" w:pos="4680"/>
                <w:tab w:val="clear" w:pos="9360"/>
              </w:tabs>
              <w:snapToGrid w:val="0"/>
              <w:spacing w:line="300" w:lineRule="exact"/>
              <w:rPr>
                <w:rFonts w:hint="eastAsia" w:ascii="仿宋_GB2312" w:hAnsi="仿宋_GB2312" w:eastAsia="仿宋_GB2312" w:cs="仿宋_GB2312"/>
                <w:b/>
                <w:bCs/>
                <w:color w:val="auto"/>
                <w:szCs w:val="24"/>
                <w:highlight w:val="none"/>
                <w:lang w:eastAsia="zh-CN"/>
              </w:rPr>
            </w:pPr>
            <w:r>
              <w:rPr>
                <w:rFonts w:hint="eastAsia" w:ascii="仿宋_GB2312" w:hAnsi="仿宋_GB2312" w:eastAsia="仿宋_GB2312" w:cs="仿宋_GB2312"/>
                <w:b/>
                <w:bCs/>
                <w:color w:val="auto"/>
                <w:szCs w:val="24"/>
                <w:highlight w:val="none"/>
                <w:lang w:eastAsia="zh-CN"/>
              </w:rPr>
              <w:t>采购需求技术要求</w:t>
            </w:r>
          </w:p>
        </w:tc>
        <w:tc>
          <w:tcPr>
            <w:tcW w:w="1864" w:type="dxa"/>
            <w:tcBorders>
              <w:top w:val="single" w:color="auto" w:sz="4" w:space="0"/>
              <w:left w:val="single" w:color="auto" w:sz="4" w:space="0"/>
              <w:bottom w:val="single" w:color="auto" w:sz="4" w:space="0"/>
              <w:right w:val="single" w:color="auto" w:sz="4" w:space="0"/>
            </w:tcBorders>
          </w:tcPr>
          <w:p>
            <w:pPr>
              <w:pStyle w:val="27"/>
              <w:widowControl w:val="0"/>
              <w:tabs>
                <w:tab w:val="center" w:pos="4140"/>
                <w:tab w:val="right" w:pos="8300"/>
                <w:tab w:val="clear" w:pos="4680"/>
                <w:tab w:val="clear" w:pos="9360"/>
              </w:tabs>
              <w:snapToGrid w:val="0"/>
              <w:spacing w:line="300" w:lineRule="exact"/>
              <w:rPr>
                <w:rFonts w:hint="eastAsia" w:ascii="仿宋_GB2312" w:hAnsi="仿宋_GB2312" w:eastAsia="仿宋_GB2312" w:cs="仿宋_GB2312"/>
                <w:b/>
                <w:bCs/>
                <w:color w:val="auto"/>
                <w:szCs w:val="24"/>
                <w:highlight w:val="none"/>
                <w:lang w:eastAsia="zh-CN"/>
              </w:rPr>
            </w:pPr>
            <w:r>
              <w:rPr>
                <w:rFonts w:hint="eastAsia" w:ascii="仿宋_GB2312" w:hAnsi="仿宋_GB2312" w:eastAsia="仿宋_GB2312" w:cs="仿宋_GB2312"/>
                <w:b/>
                <w:bCs/>
                <w:color w:val="auto"/>
                <w:szCs w:val="24"/>
                <w:highlight w:val="none"/>
                <w:lang w:eastAsia="zh-CN"/>
              </w:rPr>
              <w:t>响应货物实际技术规格</w:t>
            </w:r>
          </w:p>
        </w:tc>
        <w:tc>
          <w:tcPr>
            <w:tcW w:w="1216" w:type="dxa"/>
            <w:tcBorders>
              <w:top w:val="single" w:color="auto" w:sz="4" w:space="0"/>
              <w:left w:val="single" w:color="auto" w:sz="4" w:space="0"/>
              <w:bottom w:val="single" w:color="auto" w:sz="4" w:space="0"/>
              <w:right w:val="single" w:color="auto" w:sz="4" w:space="0"/>
            </w:tcBorders>
          </w:tcPr>
          <w:p>
            <w:pPr>
              <w:pStyle w:val="27"/>
              <w:widowControl w:val="0"/>
              <w:tabs>
                <w:tab w:val="center" w:pos="4140"/>
                <w:tab w:val="right" w:pos="8300"/>
                <w:tab w:val="clear" w:pos="4680"/>
                <w:tab w:val="clear" w:pos="9360"/>
              </w:tabs>
              <w:snapToGrid w:val="0"/>
              <w:spacing w:line="300" w:lineRule="exact"/>
              <w:rPr>
                <w:rFonts w:hint="eastAsia" w:ascii="仿宋_GB2312" w:hAnsi="仿宋_GB2312" w:eastAsia="仿宋_GB2312" w:cs="仿宋_GB2312"/>
                <w:b/>
                <w:bCs/>
                <w:color w:val="auto"/>
                <w:szCs w:val="24"/>
                <w:highlight w:val="none"/>
                <w:lang w:eastAsia="zh-CN"/>
              </w:rPr>
            </w:pPr>
            <w:r>
              <w:rPr>
                <w:rFonts w:hint="eastAsia" w:ascii="仿宋_GB2312" w:hAnsi="仿宋_GB2312" w:eastAsia="仿宋_GB2312" w:cs="仿宋_GB2312"/>
                <w:b/>
                <w:bCs/>
                <w:color w:val="auto"/>
                <w:szCs w:val="24"/>
                <w:highlight w:val="none"/>
                <w:lang w:eastAsia="zh-CN"/>
              </w:rPr>
              <w:t>偏离情况</w:t>
            </w:r>
          </w:p>
        </w:tc>
        <w:tc>
          <w:tcPr>
            <w:tcW w:w="1311" w:type="dxa"/>
            <w:tcBorders>
              <w:top w:val="single" w:color="auto" w:sz="4" w:space="0"/>
              <w:left w:val="single" w:color="auto" w:sz="4" w:space="0"/>
              <w:bottom w:val="single" w:color="auto" w:sz="4" w:space="0"/>
              <w:right w:val="single" w:color="auto" w:sz="4" w:space="0"/>
            </w:tcBorders>
          </w:tcPr>
          <w:p>
            <w:pPr>
              <w:pStyle w:val="27"/>
              <w:widowControl w:val="0"/>
              <w:tabs>
                <w:tab w:val="center" w:pos="4140"/>
                <w:tab w:val="right" w:pos="8300"/>
                <w:tab w:val="clear" w:pos="4680"/>
                <w:tab w:val="clear" w:pos="9360"/>
              </w:tabs>
              <w:snapToGrid w:val="0"/>
              <w:spacing w:line="300" w:lineRule="exact"/>
              <w:rPr>
                <w:rFonts w:hint="eastAsia" w:ascii="仿宋_GB2312" w:hAnsi="仿宋_GB2312" w:eastAsia="仿宋_GB2312" w:cs="仿宋_GB2312"/>
                <w:b/>
                <w:bCs/>
                <w:color w:val="auto"/>
                <w:szCs w:val="24"/>
                <w:highlight w:val="none"/>
                <w:lang w:eastAsia="zh-CN"/>
              </w:rPr>
            </w:pPr>
            <w:r>
              <w:rPr>
                <w:rFonts w:hint="eastAsia" w:ascii="仿宋_GB2312" w:hAnsi="仿宋_GB2312" w:eastAsia="仿宋_GB2312" w:cs="仿宋_GB2312"/>
                <w:b/>
                <w:bCs/>
                <w:color w:val="auto"/>
                <w:szCs w:val="24"/>
                <w:highlight w:val="none"/>
                <w:lang w:eastAsia="zh-CN"/>
              </w:rPr>
              <w:t>备注说明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8" w:type="dxa"/>
            <w:tcBorders>
              <w:top w:val="single" w:color="auto" w:sz="4" w:space="0"/>
              <w:left w:val="single" w:color="auto" w:sz="4" w:space="0"/>
              <w:bottom w:val="single" w:color="auto" w:sz="4" w:space="0"/>
              <w:right w:val="single" w:color="auto" w:sz="4" w:space="0"/>
            </w:tcBorders>
          </w:tcPr>
          <w:p>
            <w:pPr>
              <w:pStyle w:val="27"/>
              <w:widowControl w:val="0"/>
              <w:tabs>
                <w:tab w:val="center" w:pos="4140"/>
                <w:tab w:val="right" w:pos="8300"/>
                <w:tab w:val="clear" w:pos="4680"/>
                <w:tab w:val="clear" w:pos="9360"/>
              </w:tabs>
              <w:snapToGrid w:val="0"/>
              <w:spacing w:line="300" w:lineRule="exact"/>
              <w:rPr>
                <w:rFonts w:hint="eastAsia" w:ascii="仿宋_GB2312" w:hAnsi="仿宋_GB2312" w:eastAsia="仿宋_GB2312" w:cs="仿宋_GB2312"/>
                <w:color w:val="auto"/>
                <w:szCs w:val="24"/>
                <w:highlight w:val="none"/>
                <w:lang w:eastAsia="zh-CN"/>
              </w:rPr>
            </w:pPr>
            <w:r>
              <w:rPr>
                <w:rFonts w:hint="eastAsia" w:ascii="仿宋_GB2312" w:hAnsi="仿宋_GB2312" w:eastAsia="仿宋_GB2312" w:cs="仿宋_GB2312"/>
                <w:color w:val="auto"/>
                <w:szCs w:val="24"/>
                <w:highlight w:val="none"/>
                <w:lang w:eastAsia="zh-CN"/>
              </w:rPr>
              <w:t>1</w:t>
            </w:r>
          </w:p>
        </w:tc>
        <w:tc>
          <w:tcPr>
            <w:tcW w:w="1429" w:type="dxa"/>
            <w:tcBorders>
              <w:top w:val="single" w:color="auto" w:sz="4" w:space="0"/>
              <w:left w:val="single" w:color="auto" w:sz="4" w:space="0"/>
              <w:bottom w:val="single" w:color="auto" w:sz="4" w:space="0"/>
              <w:right w:val="single" w:color="auto" w:sz="4" w:space="0"/>
            </w:tcBorders>
          </w:tcPr>
          <w:p>
            <w:pPr>
              <w:pStyle w:val="27"/>
              <w:widowControl w:val="0"/>
              <w:tabs>
                <w:tab w:val="center" w:pos="4140"/>
                <w:tab w:val="right" w:pos="8300"/>
                <w:tab w:val="clear" w:pos="4680"/>
                <w:tab w:val="clear" w:pos="9360"/>
              </w:tabs>
              <w:snapToGrid w:val="0"/>
              <w:spacing w:line="300" w:lineRule="exact"/>
              <w:rPr>
                <w:rFonts w:hint="eastAsia" w:ascii="仿宋_GB2312" w:hAnsi="仿宋_GB2312" w:eastAsia="仿宋_GB2312" w:cs="仿宋_GB2312"/>
                <w:color w:val="auto"/>
                <w:szCs w:val="24"/>
                <w:highlight w:val="none"/>
                <w:lang w:eastAsia="zh-CN"/>
              </w:rPr>
            </w:pPr>
            <w:r>
              <w:rPr>
                <w:rFonts w:hint="eastAsia" w:ascii="仿宋_GB2312" w:hAnsi="仿宋_GB2312" w:eastAsia="仿宋_GB2312" w:cs="仿宋_GB2312"/>
                <w:color w:val="auto"/>
                <w:szCs w:val="24"/>
                <w:highlight w:val="none"/>
                <w:lang w:eastAsia="zh-CN"/>
              </w:rPr>
              <w:t>按采购需求清单填写</w:t>
            </w:r>
          </w:p>
        </w:tc>
        <w:tc>
          <w:tcPr>
            <w:tcW w:w="1878" w:type="dxa"/>
            <w:tcBorders>
              <w:top w:val="single" w:color="auto" w:sz="4" w:space="0"/>
              <w:left w:val="single" w:color="auto" w:sz="4" w:space="0"/>
              <w:bottom w:val="single" w:color="auto" w:sz="4" w:space="0"/>
              <w:right w:val="single" w:color="auto" w:sz="4" w:space="0"/>
            </w:tcBorders>
          </w:tcPr>
          <w:p>
            <w:pPr>
              <w:pStyle w:val="27"/>
              <w:widowControl w:val="0"/>
              <w:tabs>
                <w:tab w:val="center" w:pos="4140"/>
                <w:tab w:val="right" w:pos="8300"/>
                <w:tab w:val="clear" w:pos="4680"/>
                <w:tab w:val="clear" w:pos="9360"/>
              </w:tabs>
              <w:snapToGrid w:val="0"/>
              <w:spacing w:line="300" w:lineRule="exact"/>
              <w:rPr>
                <w:rFonts w:hint="eastAsia" w:ascii="仿宋_GB2312" w:hAnsi="仿宋_GB2312" w:eastAsia="仿宋_GB2312" w:cs="仿宋_GB2312"/>
                <w:color w:val="auto"/>
                <w:szCs w:val="24"/>
                <w:highlight w:val="none"/>
                <w:lang w:eastAsia="zh-CN"/>
              </w:rPr>
            </w:pPr>
            <w:r>
              <w:rPr>
                <w:rFonts w:hint="eastAsia" w:ascii="仿宋_GB2312" w:hAnsi="仿宋_GB2312" w:eastAsia="仿宋_GB2312" w:cs="仿宋_GB2312"/>
                <w:color w:val="auto"/>
                <w:szCs w:val="24"/>
                <w:highlight w:val="none"/>
                <w:lang w:eastAsia="zh-CN"/>
              </w:rPr>
              <w:t>按采购需求文件中对应技术填写</w:t>
            </w:r>
          </w:p>
        </w:tc>
        <w:tc>
          <w:tcPr>
            <w:tcW w:w="1864" w:type="dxa"/>
            <w:tcBorders>
              <w:top w:val="single" w:color="auto" w:sz="4" w:space="0"/>
              <w:left w:val="single" w:color="auto" w:sz="4" w:space="0"/>
              <w:bottom w:val="single" w:color="auto" w:sz="4" w:space="0"/>
              <w:right w:val="single" w:color="auto" w:sz="4" w:space="0"/>
            </w:tcBorders>
          </w:tcPr>
          <w:p>
            <w:pPr>
              <w:pStyle w:val="27"/>
              <w:widowControl w:val="0"/>
              <w:tabs>
                <w:tab w:val="center" w:pos="4140"/>
                <w:tab w:val="right" w:pos="8300"/>
                <w:tab w:val="clear" w:pos="4680"/>
                <w:tab w:val="clear" w:pos="9360"/>
              </w:tabs>
              <w:snapToGrid w:val="0"/>
              <w:spacing w:line="300" w:lineRule="exact"/>
              <w:rPr>
                <w:rFonts w:hint="eastAsia" w:ascii="仿宋_GB2312" w:hAnsi="仿宋_GB2312" w:eastAsia="仿宋_GB2312" w:cs="仿宋_GB2312"/>
                <w:color w:val="auto"/>
                <w:szCs w:val="24"/>
                <w:highlight w:val="none"/>
                <w:lang w:eastAsia="zh-CN"/>
              </w:rPr>
            </w:pPr>
            <w:r>
              <w:rPr>
                <w:rFonts w:hint="eastAsia" w:ascii="仿宋_GB2312" w:hAnsi="仿宋_GB2312" w:eastAsia="仿宋_GB2312" w:cs="仿宋_GB2312"/>
                <w:color w:val="auto"/>
                <w:szCs w:val="24"/>
                <w:highlight w:val="none"/>
                <w:lang w:eastAsia="zh-CN"/>
              </w:rPr>
              <w:t>按所投产品实际技术指标填写</w:t>
            </w:r>
          </w:p>
        </w:tc>
        <w:tc>
          <w:tcPr>
            <w:tcW w:w="1216" w:type="dxa"/>
            <w:tcBorders>
              <w:top w:val="single" w:color="auto" w:sz="4" w:space="0"/>
              <w:left w:val="single" w:color="auto" w:sz="4" w:space="0"/>
              <w:bottom w:val="single" w:color="auto" w:sz="4" w:space="0"/>
              <w:right w:val="single" w:color="auto" w:sz="4" w:space="0"/>
            </w:tcBorders>
          </w:tcPr>
          <w:p>
            <w:pPr>
              <w:pStyle w:val="27"/>
              <w:widowControl w:val="0"/>
              <w:tabs>
                <w:tab w:val="center" w:pos="4140"/>
                <w:tab w:val="right" w:pos="8300"/>
                <w:tab w:val="clear" w:pos="4680"/>
                <w:tab w:val="clear" w:pos="9360"/>
              </w:tabs>
              <w:snapToGrid w:val="0"/>
              <w:spacing w:line="300" w:lineRule="exact"/>
              <w:rPr>
                <w:rFonts w:hint="eastAsia" w:ascii="仿宋_GB2312" w:hAnsi="仿宋_GB2312" w:eastAsia="仿宋_GB2312" w:cs="仿宋_GB2312"/>
                <w:color w:val="auto"/>
                <w:szCs w:val="24"/>
                <w:highlight w:val="none"/>
                <w:lang w:eastAsia="zh-CN"/>
              </w:rPr>
            </w:pPr>
            <w:r>
              <w:rPr>
                <w:rFonts w:hint="eastAsia" w:ascii="仿宋_GB2312" w:hAnsi="仿宋_GB2312" w:eastAsia="仿宋_GB2312" w:cs="仿宋_GB2312"/>
                <w:color w:val="auto"/>
                <w:szCs w:val="24"/>
                <w:highlight w:val="none"/>
                <w:lang w:eastAsia="zh-CN"/>
              </w:rPr>
              <w:t>正偏离或满足或负偏离</w:t>
            </w:r>
          </w:p>
        </w:tc>
        <w:tc>
          <w:tcPr>
            <w:tcW w:w="1311" w:type="dxa"/>
            <w:tcBorders>
              <w:top w:val="single" w:color="auto" w:sz="4" w:space="0"/>
              <w:left w:val="single" w:color="auto" w:sz="4" w:space="0"/>
              <w:bottom w:val="single" w:color="auto" w:sz="4" w:space="0"/>
              <w:right w:val="single" w:color="auto" w:sz="4" w:space="0"/>
            </w:tcBorders>
          </w:tcPr>
          <w:p>
            <w:pPr>
              <w:pStyle w:val="27"/>
              <w:widowControl w:val="0"/>
              <w:tabs>
                <w:tab w:val="center" w:pos="4140"/>
                <w:tab w:val="right" w:pos="8300"/>
                <w:tab w:val="clear" w:pos="4680"/>
                <w:tab w:val="clear" w:pos="9360"/>
              </w:tabs>
              <w:snapToGrid w:val="0"/>
              <w:spacing w:line="300" w:lineRule="exact"/>
              <w:rPr>
                <w:rFonts w:hint="eastAsia" w:ascii="仿宋_GB2312" w:hAnsi="仿宋_GB2312" w:eastAsia="仿宋_GB2312" w:cs="仿宋_GB2312"/>
                <w:color w:val="auto"/>
                <w:szCs w:val="24"/>
                <w:highlight w:val="none"/>
                <w:lang w:eastAsia="zh-CN"/>
              </w:rPr>
            </w:pPr>
            <w:r>
              <w:rPr>
                <w:rFonts w:hint="eastAsia" w:ascii="仿宋_GB2312" w:hAnsi="仿宋_GB2312" w:eastAsia="仿宋_GB2312" w:cs="仿宋_GB2312"/>
                <w:color w:val="auto"/>
                <w:szCs w:val="24"/>
                <w:highlight w:val="none"/>
                <w:lang w:eastAsia="zh-CN"/>
              </w:rPr>
              <w:t>其他需补充说明情况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8" w:type="dxa"/>
            <w:tcBorders>
              <w:top w:val="single" w:color="auto" w:sz="4" w:space="0"/>
              <w:left w:val="single" w:color="auto" w:sz="4" w:space="0"/>
              <w:bottom w:val="single" w:color="auto" w:sz="4" w:space="0"/>
              <w:right w:val="single" w:color="auto" w:sz="4" w:space="0"/>
            </w:tcBorders>
          </w:tcPr>
          <w:p>
            <w:pPr>
              <w:pStyle w:val="27"/>
              <w:widowControl w:val="0"/>
              <w:tabs>
                <w:tab w:val="center" w:pos="4140"/>
                <w:tab w:val="right" w:pos="8300"/>
                <w:tab w:val="clear" w:pos="4680"/>
                <w:tab w:val="clear" w:pos="9360"/>
              </w:tabs>
              <w:snapToGrid w:val="0"/>
              <w:spacing w:line="300" w:lineRule="exact"/>
              <w:rPr>
                <w:rFonts w:hint="eastAsia" w:ascii="仿宋_GB2312" w:hAnsi="仿宋_GB2312" w:eastAsia="仿宋_GB2312" w:cs="仿宋_GB2312"/>
                <w:color w:val="auto"/>
                <w:szCs w:val="24"/>
                <w:highlight w:val="none"/>
                <w:lang w:eastAsia="zh-CN"/>
              </w:rPr>
            </w:pPr>
          </w:p>
        </w:tc>
        <w:tc>
          <w:tcPr>
            <w:tcW w:w="1429" w:type="dxa"/>
            <w:tcBorders>
              <w:top w:val="single" w:color="auto" w:sz="4" w:space="0"/>
              <w:left w:val="single" w:color="auto" w:sz="4" w:space="0"/>
              <w:bottom w:val="single" w:color="auto" w:sz="4" w:space="0"/>
              <w:right w:val="single" w:color="auto" w:sz="4" w:space="0"/>
            </w:tcBorders>
          </w:tcPr>
          <w:p>
            <w:pPr>
              <w:pStyle w:val="27"/>
              <w:widowControl w:val="0"/>
              <w:tabs>
                <w:tab w:val="center" w:pos="4140"/>
                <w:tab w:val="right" w:pos="8300"/>
                <w:tab w:val="clear" w:pos="4680"/>
                <w:tab w:val="clear" w:pos="9360"/>
              </w:tabs>
              <w:snapToGrid w:val="0"/>
              <w:spacing w:line="300" w:lineRule="exact"/>
              <w:rPr>
                <w:rFonts w:hint="eastAsia" w:ascii="仿宋_GB2312" w:hAnsi="仿宋_GB2312" w:eastAsia="仿宋_GB2312" w:cs="仿宋_GB2312"/>
                <w:color w:val="auto"/>
                <w:szCs w:val="24"/>
                <w:highlight w:val="none"/>
                <w:lang w:eastAsia="zh-CN"/>
              </w:rPr>
            </w:pPr>
            <w:r>
              <w:rPr>
                <w:rFonts w:hint="eastAsia" w:ascii="仿宋_GB2312" w:hAnsi="仿宋_GB2312" w:eastAsia="仿宋_GB2312" w:cs="仿宋_GB2312"/>
                <w:color w:val="auto"/>
                <w:szCs w:val="24"/>
                <w:highlight w:val="none"/>
                <w:lang w:eastAsia="zh-CN"/>
              </w:rPr>
              <w:t>...</w:t>
            </w:r>
          </w:p>
        </w:tc>
        <w:tc>
          <w:tcPr>
            <w:tcW w:w="1878" w:type="dxa"/>
            <w:tcBorders>
              <w:top w:val="single" w:color="auto" w:sz="4" w:space="0"/>
              <w:left w:val="single" w:color="auto" w:sz="4" w:space="0"/>
              <w:bottom w:val="single" w:color="auto" w:sz="4" w:space="0"/>
              <w:right w:val="single" w:color="auto" w:sz="4" w:space="0"/>
            </w:tcBorders>
          </w:tcPr>
          <w:p>
            <w:pPr>
              <w:pStyle w:val="27"/>
              <w:widowControl w:val="0"/>
              <w:tabs>
                <w:tab w:val="center" w:pos="4140"/>
                <w:tab w:val="right" w:pos="8300"/>
                <w:tab w:val="clear" w:pos="4680"/>
                <w:tab w:val="clear" w:pos="9360"/>
              </w:tabs>
              <w:snapToGrid w:val="0"/>
              <w:spacing w:line="300" w:lineRule="exact"/>
              <w:rPr>
                <w:rFonts w:hint="eastAsia" w:ascii="仿宋_GB2312" w:hAnsi="仿宋_GB2312" w:eastAsia="仿宋_GB2312" w:cs="仿宋_GB2312"/>
                <w:color w:val="auto"/>
                <w:szCs w:val="24"/>
                <w:highlight w:val="none"/>
                <w:lang w:eastAsia="zh-CN"/>
              </w:rPr>
            </w:pPr>
          </w:p>
        </w:tc>
        <w:tc>
          <w:tcPr>
            <w:tcW w:w="1864" w:type="dxa"/>
            <w:tcBorders>
              <w:top w:val="single" w:color="auto" w:sz="4" w:space="0"/>
              <w:left w:val="single" w:color="auto" w:sz="4" w:space="0"/>
              <w:bottom w:val="single" w:color="auto" w:sz="4" w:space="0"/>
              <w:right w:val="single" w:color="auto" w:sz="4" w:space="0"/>
            </w:tcBorders>
          </w:tcPr>
          <w:p>
            <w:pPr>
              <w:pStyle w:val="27"/>
              <w:widowControl w:val="0"/>
              <w:tabs>
                <w:tab w:val="center" w:pos="4140"/>
                <w:tab w:val="right" w:pos="8300"/>
                <w:tab w:val="clear" w:pos="4680"/>
                <w:tab w:val="clear" w:pos="9360"/>
              </w:tabs>
              <w:snapToGrid w:val="0"/>
              <w:spacing w:line="300" w:lineRule="exact"/>
              <w:rPr>
                <w:rFonts w:hint="eastAsia" w:ascii="仿宋_GB2312" w:hAnsi="仿宋_GB2312" w:eastAsia="仿宋_GB2312" w:cs="仿宋_GB2312"/>
                <w:color w:val="auto"/>
                <w:szCs w:val="24"/>
                <w:highlight w:val="none"/>
                <w:lang w:eastAsia="zh-CN"/>
              </w:rPr>
            </w:pPr>
          </w:p>
        </w:tc>
        <w:tc>
          <w:tcPr>
            <w:tcW w:w="1216" w:type="dxa"/>
            <w:tcBorders>
              <w:top w:val="single" w:color="auto" w:sz="4" w:space="0"/>
              <w:left w:val="single" w:color="auto" w:sz="4" w:space="0"/>
              <w:bottom w:val="single" w:color="auto" w:sz="4" w:space="0"/>
              <w:right w:val="single" w:color="auto" w:sz="4" w:space="0"/>
            </w:tcBorders>
          </w:tcPr>
          <w:p>
            <w:pPr>
              <w:pStyle w:val="27"/>
              <w:widowControl w:val="0"/>
              <w:tabs>
                <w:tab w:val="center" w:pos="4140"/>
                <w:tab w:val="right" w:pos="8300"/>
                <w:tab w:val="clear" w:pos="4680"/>
                <w:tab w:val="clear" w:pos="9360"/>
              </w:tabs>
              <w:snapToGrid w:val="0"/>
              <w:spacing w:line="300" w:lineRule="exact"/>
              <w:rPr>
                <w:rFonts w:hint="eastAsia" w:ascii="仿宋_GB2312" w:hAnsi="仿宋_GB2312" w:eastAsia="仿宋_GB2312" w:cs="仿宋_GB2312"/>
                <w:color w:val="auto"/>
                <w:szCs w:val="24"/>
                <w:highlight w:val="none"/>
                <w:lang w:eastAsia="zh-CN"/>
              </w:rPr>
            </w:pPr>
          </w:p>
        </w:tc>
        <w:tc>
          <w:tcPr>
            <w:tcW w:w="1311" w:type="dxa"/>
            <w:tcBorders>
              <w:top w:val="single" w:color="auto" w:sz="4" w:space="0"/>
              <w:left w:val="single" w:color="auto" w:sz="4" w:space="0"/>
              <w:bottom w:val="single" w:color="auto" w:sz="4" w:space="0"/>
              <w:right w:val="single" w:color="auto" w:sz="4" w:space="0"/>
            </w:tcBorders>
          </w:tcPr>
          <w:p>
            <w:pPr>
              <w:pStyle w:val="27"/>
              <w:widowControl w:val="0"/>
              <w:tabs>
                <w:tab w:val="center" w:pos="4140"/>
                <w:tab w:val="right" w:pos="8300"/>
                <w:tab w:val="clear" w:pos="4680"/>
                <w:tab w:val="clear" w:pos="9360"/>
              </w:tabs>
              <w:snapToGrid w:val="0"/>
              <w:spacing w:line="300" w:lineRule="exact"/>
              <w:rPr>
                <w:rFonts w:hint="eastAsia" w:ascii="仿宋_GB2312" w:hAnsi="仿宋_GB2312" w:eastAsia="仿宋_GB2312" w:cs="仿宋_GB2312"/>
                <w:color w:val="auto"/>
                <w:szCs w:val="24"/>
                <w:highlight w:val="no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28" w:type="dxa"/>
            <w:tcBorders>
              <w:top w:val="single" w:color="auto" w:sz="4" w:space="0"/>
              <w:left w:val="single" w:color="auto" w:sz="4" w:space="0"/>
              <w:bottom w:val="single" w:color="auto" w:sz="4" w:space="0"/>
              <w:right w:val="single" w:color="auto" w:sz="4" w:space="0"/>
            </w:tcBorders>
          </w:tcPr>
          <w:p>
            <w:pPr>
              <w:pStyle w:val="27"/>
              <w:widowControl w:val="0"/>
              <w:tabs>
                <w:tab w:val="center" w:pos="4140"/>
                <w:tab w:val="right" w:pos="8300"/>
                <w:tab w:val="clear" w:pos="4680"/>
                <w:tab w:val="clear" w:pos="9360"/>
              </w:tabs>
              <w:snapToGrid w:val="0"/>
              <w:spacing w:line="300" w:lineRule="exact"/>
              <w:rPr>
                <w:rFonts w:hint="eastAsia" w:ascii="仿宋_GB2312" w:hAnsi="仿宋_GB2312" w:eastAsia="仿宋_GB2312" w:cs="仿宋_GB2312"/>
                <w:color w:val="auto"/>
                <w:szCs w:val="24"/>
                <w:highlight w:val="none"/>
                <w:lang w:eastAsia="zh-CN"/>
              </w:rPr>
            </w:pPr>
          </w:p>
        </w:tc>
        <w:tc>
          <w:tcPr>
            <w:tcW w:w="1429" w:type="dxa"/>
            <w:tcBorders>
              <w:top w:val="single" w:color="auto" w:sz="4" w:space="0"/>
              <w:left w:val="single" w:color="auto" w:sz="4" w:space="0"/>
              <w:bottom w:val="single" w:color="auto" w:sz="4" w:space="0"/>
              <w:right w:val="single" w:color="auto" w:sz="4" w:space="0"/>
            </w:tcBorders>
          </w:tcPr>
          <w:p>
            <w:pPr>
              <w:pStyle w:val="27"/>
              <w:widowControl w:val="0"/>
              <w:tabs>
                <w:tab w:val="center" w:pos="4140"/>
                <w:tab w:val="right" w:pos="8300"/>
                <w:tab w:val="clear" w:pos="4680"/>
                <w:tab w:val="clear" w:pos="9360"/>
              </w:tabs>
              <w:snapToGrid w:val="0"/>
              <w:spacing w:line="300" w:lineRule="exact"/>
              <w:rPr>
                <w:rFonts w:hint="eastAsia" w:ascii="仿宋_GB2312" w:hAnsi="仿宋_GB2312" w:eastAsia="仿宋_GB2312" w:cs="仿宋_GB2312"/>
                <w:color w:val="auto"/>
                <w:szCs w:val="24"/>
                <w:highlight w:val="none"/>
                <w:lang w:eastAsia="zh-CN"/>
              </w:rPr>
            </w:pPr>
          </w:p>
        </w:tc>
        <w:tc>
          <w:tcPr>
            <w:tcW w:w="1878" w:type="dxa"/>
            <w:tcBorders>
              <w:top w:val="single" w:color="auto" w:sz="4" w:space="0"/>
              <w:left w:val="single" w:color="auto" w:sz="4" w:space="0"/>
              <w:bottom w:val="single" w:color="auto" w:sz="4" w:space="0"/>
              <w:right w:val="single" w:color="auto" w:sz="4" w:space="0"/>
            </w:tcBorders>
          </w:tcPr>
          <w:p>
            <w:pPr>
              <w:pStyle w:val="27"/>
              <w:widowControl w:val="0"/>
              <w:tabs>
                <w:tab w:val="center" w:pos="4140"/>
                <w:tab w:val="right" w:pos="8300"/>
                <w:tab w:val="clear" w:pos="4680"/>
                <w:tab w:val="clear" w:pos="9360"/>
              </w:tabs>
              <w:snapToGrid w:val="0"/>
              <w:spacing w:line="300" w:lineRule="exact"/>
              <w:rPr>
                <w:rFonts w:hint="eastAsia" w:ascii="仿宋_GB2312" w:hAnsi="仿宋_GB2312" w:eastAsia="仿宋_GB2312" w:cs="仿宋_GB2312"/>
                <w:color w:val="auto"/>
                <w:szCs w:val="24"/>
                <w:highlight w:val="none"/>
                <w:lang w:eastAsia="zh-CN"/>
              </w:rPr>
            </w:pPr>
          </w:p>
        </w:tc>
        <w:tc>
          <w:tcPr>
            <w:tcW w:w="1864" w:type="dxa"/>
            <w:tcBorders>
              <w:top w:val="single" w:color="auto" w:sz="4" w:space="0"/>
              <w:left w:val="single" w:color="auto" w:sz="4" w:space="0"/>
              <w:bottom w:val="single" w:color="auto" w:sz="4" w:space="0"/>
              <w:right w:val="single" w:color="auto" w:sz="4" w:space="0"/>
            </w:tcBorders>
          </w:tcPr>
          <w:p>
            <w:pPr>
              <w:pStyle w:val="27"/>
              <w:widowControl w:val="0"/>
              <w:tabs>
                <w:tab w:val="center" w:pos="4140"/>
                <w:tab w:val="right" w:pos="8300"/>
                <w:tab w:val="clear" w:pos="4680"/>
                <w:tab w:val="clear" w:pos="9360"/>
              </w:tabs>
              <w:snapToGrid w:val="0"/>
              <w:spacing w:line="300" w:lineRule="exact"/>
              <w:rPr>
                <w:rFonts w:hint="eastAsia" w:ascii="仿宋_GB2312" w:hAnsi="仿宋_GB2312" w:eastAsia="仿宋_GB2312" w:cs="仿宋_GB2312"/>
                <w:color w:val="auto"/>
                <w:szCs w:val="24"/>
                <w:highlight w:val="none"/>
                <w:lang w:eastAsia="zh-CN"/>
              </w:rPr>
            </w:pPr>
          </w:p>
        </w:tc>
        <w:tc>
          <w:tcPr>
            <w:tcW w:w="1216" w:type="dxa"/>
            <w:tcBorders>
              <w:top w:val="single" w:color="auto" w:sz="4" w:space="0"/>
              <w:left w:val="single" w:color="auto" w:sz="4" w:space="0"/>
              <w:bottom w:val="single" w:color="auto" w:sz="4" w:space="0"/>
              <w:right w:val="single" w:color="auto" w:sz="4" w:space="0"/>
            </w:tcBorders>
          </w:tcPr>
          <w:p>
            <w:pPr>
              <w:pStyle w:val="27"/>
              <w:widowControl w:val="0"/>
              <w:tabs>
                <w:tab w:val="center" w:pos="4140"/>
                <w:tab w:val="right" w:pos="8300"/>
                <w:tab w:val="clear" w:pos="4680"/>
                <w:tab w:val="clear" w:pos="9360"/>
              </w:tabs>
              <w:snapToGrid w:val="0"/>
              <w:spacing w:line="300" w:lineRule="exact"/>
              <w:rPr>
                <w:rFonts w:hint="eastAsia" w:ascii="仿宋_GB2312" w:hAnsi="仿宋_GB2312" w:eastAsia="仿宋_GB2312" w:cs="仿宋_GB2312"/>
                <w:color w:val="auto"/>
                <w:szCs w:val="24"/>
                <w:highlight w:val="none"/>
                <w:lang w:eastAsia="zh-CN"/>
              </w:rPr>
            </w:pPr>
          </w:p>
        </w:tc>
        <w:tc>
          <w:tcPr>
            <w:tcW w:w="1311" w:type="dxa"/>
            <w:tcBorders>
              <w:top w:val="single" w:color="auto" w:sz="4" w:space="0"/>
              <w:left w:val="single" w:color="auto" w:sz="4" w:space="0"/>
              <w:bottom w:val="single" w:color="auto" w:sz="4" w:space="0"/>
              <w:right w:val="single" w:color="auto" w:sz="4" w:space="0"/>
            </w:tcBorders>
          </w:tcPr>
          <w:p>
            <w:pPr>
              <w:pStyle w:val="27"/>
              <w:widowControl w:val="0"/>
              <w:tabs>
                <w:tab w:val="center" w:pos="4140"/>
                <w:tab w:val="right" w:pos="8300"/>
                <w:tab w:val="clear" w:pos="4680"/>
                <w:tab w:val="clear" w:pos="9360"/>
              </w:tabs>
              <w:snapToGrid w:val="0"/>
              <w:spacing w:line="300" w:lineRule="exact"/>
              <w:rPr>
                <w:rFonts w:hint="eastAsia" w:ascii="仿宋_GB2312" w:hAnsi="仿宋_GB2312" w:eastAsia="仿宋_GB2312" w:cs="仿宋_GB2312"/>
                <w:color w:val="auto"/>
                <w:szCs w:val="24"/>
                <w:highlight w:val="none"/>
                <w:lang w:eastAsia="zh-CN"/>
              </w:rPr>
            </w:pPr>
          </w:p>
        </w:tc>
      </w:tr>
    </w:tbl>
    <w:p>
      <w:pPr>
        <w:rPr>
          <w:rFonts w:hint="eastAsia" w:ascii="黑体" w:hAnsi="黑体" w:eastAsia="黑体" w:cs="黑体"/>
          <w:color w:val="auto"/>
          <w:sz w:val="28"/>
          <w:szCs w:val="28"/>
          <w:highlight w:val="none"/>
          <w:lang w:eastAsia="zh-CN"/>
        </w:rPr>
      </w:pPr>
      <w:r>
        <w:rPr>
          <w:rFonts w:hint="eastAsia" w:ascii="黑体" w:hAnsi="黑体" w:eastAsia="黑体" w:cs="黑体"/>
          <w:color w:val="auto"/>
          <w:sz w:val="28"/>
          <w:szCs w:val="28"/>
          <w:highlight w:val="none"/>
          <w:lang w:eastAsia="zh-CN"/>
        </w:rPr>
        <w:br w:type="page"/>
      </w:r>
    </w:p>
    <w:p>
      <w:pPr>
        <w:pStyle w:val="3"/>
        <w:spacing w:before="0" w:after="0" w:line="460" w:lineRule="exact"/>
        <w:ind w:firstLine="560" w:firstLineChars="200"/>
        <w:rPr>
          <w:rFonts w:hint="eastAsia" w:ascii="黑体" w:hAnsi="黑体" w:eastAsia="黑体" w:cs="黑体"/>
          <w:b w:val="0"/>
          <w:bCs w:val="0"/>
          <w:color w:val="auto"/>
          <w:sz w:val="28"/>
          <w:highlight w:val="none"/>
          <w:lang w:eastAsia="zh-CN"/>
        </w:rPr>
      </w:pPr>
      <w:r>
        <w:rPr>
          <w:rFonts w:hint="eastAsia" w:ascii="黑体" w:hAnsi="黑体" w:eastAsia="黑体" w:cs="黑体"/>
          <w:b w:val="0"/>
          <w:bCs w:val="0"/>
          <w:color w:val="auto"/>
          <w:sz w:val="28"/>
          <w:highlight w:val="none"/>
          <w:lang w:eastAsia="zh-CN"/>
        </w:rPr>
        <w:t>评分标准</w:t>
      </w:r>
    </w:p>
    <w:p>
      <w:pPr>
        <w:rPr>
          <w:color w:val="auto"/>
          <w:highlight w:val="none"/>
          <w:lang w:eastAsia="zh-CN"/>
        </w:rPr>
      </w:pPr>
    </w:p>
    <w:tbl>
      <w:tblPr>
        <w:tblStyle w:val="40"/>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9"/>
        <w:gridCol w:w="966"/>
        <w:gridCol w:w="6803"/>
        <w:gridCol w:w="7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20" w:type="pct"/>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eastAsia" w:ascii="仿宋_GB2312" w:hAnsi="仿宋_GB2312" w:eastAsia="仿宋_GB2312" w:cs="仿宋_GB2312"/>
                <w:color w:val="auto"/>
                <w:szCs w:val="24"/>
                <w:highlight w:val="none"/>
              </w:rPr>
            </w:pPr>
            <w:r>
              <w:rPr>
                <w:rFonts w:hint="eastAsia" w:ascii="仿宋_GB2312" w:hAnsi="仿宋_GB2312" w:eastAsia="仿宋_GB2312" w:cs="仿宋_GB2312"/>
                <w:color w:val="auto"/>
                <w:szCs w:val="24"/>
                <w:highlight w:val="none"/>
              </w:rPr>
              <w:t>序号</w:t>
            </w:r>
          </w:p>
        </w:tc>
        <w:tc>
          <w:tcPr>
            <w:tcW w:w="520" w:type="pct"/>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eastAsia" w:ascii="仿宋_GB2312" w:hAnsi="仿宋_GB2312" w:eastAsia="仿宋_GB2312" w:cs="仿宋_GB2312"/>
                <w:color w:val="auto"/>
                <w:szCs w:val="24"/>
                <w:highlight w:val="none"/>
              </w:rPr>
            </w:pPr>
            <w:r>
              <w:rPr>
                <w:rFonts w:hint="eastAsia" w:ascii="仿宋_GB2312" w:hAnsi="仿宋_GB2312" w:eastAsia="仿宋_GB2312" w:cs="仿宋_GB2312"/>
                <w:color w:val="auto"/>
                <w:szCs w:val="24"/>
                <w:highlight w:val="none"/>
              </w:rPr>
              <w:t>评估要素</w:t>
            </w:r>
          </w:p>
        </w:tc>
        <w:tc>
          <w:tcPr>
            <w:tcW w:w="3662" w:type="pct"/>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eastAsia" w:ascii="仿宋_GB2312" w:hAnsi="仿宋_GB2312" w:eastAsia="仿宋_GB2312" w:cs="仿宋_GB2312"/>
                <w:color w:val="auto"/>
                <w:szCs w:val="24"/>
                <w:highlight w:val="none"/>
              </w:rPr>
            </w:pPr>
            <w:r>
              <w:rPr>
                <w:rFonts w:hint="eastAsia" w:ascii="仿宋_GB2312" w:hAnsi="仿宋_GB2312" w:eastAsia="仿宋_GB2312" w:cs="仿宋_GB2312"/>
                <w:color w:val="auto"/>
                <w:szCs w:val="24"/>
                <w:highlight w:val="none"/>
              </w:rPr>
              <w:t>主要评估内容</w:t>
            </w:r>
          </w:p>
        </w:tc>
        <w:tc>
          <w:tcPr>
            <w:tcW w:w="396" w:type="pct"/>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eastAsia" w:ascii="仿宋_GB2312" w:hAnsi="仿宋_GB2312" w:eastAsia="仿宋_GB2312" w:cs="仿宋_GB2312"/>
                <w:color w:val="auto"/>
                <w:szCs w:val="24"/>
                <w:highlight w:val="none"/>
              </w:rPr>
            </w:pPr>
            <w:r>
              <w:rPr>
                <w:rFonts w:hint="eastAsia" w:ascii="仿宋_GB2312" w:hAnsi="仿宋_GB2312" w:eastAsia="仿宋_GB2312" w:cs="仿宋_GB2312"/>
                <w:color w:val="auto"/>
                <w:szCs w:val="24"/>
                <w:highlight w:val="none"/>
              </w:rPr>
              <w:t>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420" w:type="pct"/>
            <w:tcBorders>
              <w:top w:val="single" w:color="auto" w:sz="4" w:space="0"/>
              <w:left w:val="single" w:color="auto" w:sz="4" w:space="0"/>
              <w:bottom w:val="single" w:color="auto" w:sz="4" w:space="0"/>
              <w:right w:val="single" w:color="auto" w:sz="4" w:space="0"/>
            </w:tcBorders>
            <w:vAlign w:val="center"/>
          </w:tcPr>
          <w:p>
            <w:pPr>
              <w:snapToGrid w:val="0"/>
              <w:spacing w:line="240" w:lineRule="exact"/>
              <w:ind w:firstLine="210" w:firstLineChars="100"/>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w:t>
            </w:r>
          </w:p>
        </w:tc>
        <w:tc>
          <w:tcPr>
            <w:tcW w:w="520" w:type="pct"/>
            <w:tcBorders>
              <w:top w:val="single" w:color="auto" w:sz="4" w:space="0"/>
              <w:left w:val="single" w:color="auto" w:sz="4" w:space="0"/>
              <w:bottom w:val="single" w:color="auto" w:sz="4" w:space="0"/>
              <w:right w:val="single" w:color="auto" w:sz="4" w:space="0"/>
            </w:tcBorders>
            <w:vAlign w:val="center"/>
          </w:tcPr>
          <w:p>
            <w:pPr>
              <w:pStyle w:val="18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报价得分</w:t>
            </w:r>
          </w:p>
        </w:tc>
        <w:tc>
          <w:tcPr>
            <w:tcW w:w="3662" w:type="pct"/>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hint="eastAsia" w:ascii="仿宋_GB2312" w:hAnsi="仿宋_GB2312" w:eastAsia="仿宋_GB2312" w:cs="仿宋_GB2312"/>
                <w:color w:val="auto"/>
                <w:sz w:val="21"/>
                <w:szCs w:val="21"/>
                <w:highlight w:val="none"/>
                <w:lang w:eastAsia="zh-CN"/>
              </w:rPr>
            </w:pPr>
            <w:r>
              <w:rPr>
                <w:rFonts w:hint="eastAsia" w:ascii="仿宋_GB2312" w:hAnsi="仿宋_GB2312" w:eastAsia="仿宋_GB2312" w:cs="仿宋_GB2312"/>
                <w:color w:val="auto"/>
                <w:sz w:val="21"/>
                <w:szCs w:val="21"/>
                <w:highlight w:val="none"/>
                <w:lang w:eastAsia="zh-CN"/>
              </w:rPr>
              <w:t>报价得分。报价得分＝价格分值×（基准价/报价）×20%×100</w:t>
            </w:r>
          </w:p>
        </w:tc>
        <w:tc>
          <w:tcPr>
            <w:tcW w:w="396" w:type="pct"/>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lang w:eastAsia="zh-CN"/>
              </w:rPr>
              <w:t>20</w:t>
            </w:r>
            <w:r>
              <w:rPr>
                <w:rFonts w:hint="eastAsia" w:ascii="仿宋_GB2312" w:hAnsi="仿宋_GB2312" w:eastAsia="仿宋_GB2312" w:cs="仿宋_GB2312"/>
                <w:color w:val="auto"/>
                <w:sz w:val="21"/>
                <w:szCs w:val="21"/>
                <w:highlight w:val="none"/>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4" w:hRule="atLeast"/>
          <w:jc w:val="center"/>
        </w:trPr>
        <w:tc>
          <w:tcPr>
            <w:tcW w:w="420" w:type="pct"/>
            <w:tcBorders>
              <w:top w:val="single" w:color="auto" w:sz="4" w:space="0"/>
              <w:left w:val="single" w:color="auto" w:sz="4" w:space="0"/>
              <w:bottom w:val="single" w:color="auto" w:sz="4" w:space="0"/>
              <w:right w:val="single" w:color="auto" w:sz="4" w:space="0"/>
            </w:tcBorders>
            <w:vAlign w:val="center"/>
          </w:tcPr>
          <w:p>
            <w:pPr>
              <w:snapToGrid w:val="0"/>
              <w:spacing w:line="240" w:lineRule="exact"/>
              <w:jc w:val="center"/>
              <w:rPr>
                <w:rFonts w:hint="eastAsia" w:ascii="仿宋_GB2312" w:hAnsi="仿宋_GB2312" w:eastAsia="仿宋_GB2312" w:cs="仿宋_GB2312"/>
                <w:color w:val="auto"/>
                <w:sz w:val="21"/>
                <w:szCs w:val="21"/>
                <w:highlight w:val="none"/>
                <w:lang w:eastAsia="zh-CN"/>
              </w:rPr>
            </w:pPr>
            <w:r>
              <w:rPr>
                <w:rFonts w:hint="eastAsia" w:ascii="仿宋_GB2312" w:hAnsi="仿宋_GB2312" w:eastAsia="仿宋_GB2312" w:cs="仿宋_GB2312"/>
                <w:color w:val="auto"/>
                <w:sz w:val="21"/>
                <w:szCs w:val="21"/>
                <w:highlight w:val="none"/>
              </w:rPr>
              <w:t>2</w:t>
            </w:r>
          </w:p>
        </w:tc>
        <w:tc>
          <w:tcPr>
            <w:tcW w:w="520" w:type="pct"/>
            <w:tcBorders>
              <w:top w:val="single" w:color="auto" w:sz="4" w:space="0"/>
              <w:left w:val="single" w:color="auto" w:sz="4" w:space="0"/>
              <w:bottom w:val="single" w:color="auto" w:sz="4" w:space="0"/>
              <w:right w:val="single" w:color="auto" w:sz="4" w:space="0"/>
            </w:tcBorders>
            <w:vAlign w:val="center"/>
          </w:tcPr>
          <w:p>
            <w:pPr>
              <w:snapToGrid w:val="0"/>
              <w:spacing w:line="240" w:lineRule="exact"/>
              <w:jc w:val="center"/>
              <w:rPr>
                <w:rFonts w:hint="eastAsia" w:ascii="仿宋_GB2312" w:hAnsi="仿宋_GB2312" w:eastAsia="仿宋_GB2312" w:cs="仿宋_GB2312"/>
                <w:color w:val="auto"/>
                <w:sz w:val="21"/>
                <w:szCs w:val="21"/>
                <w:highlight w:val="none"/>
                <w:lang w:eastAsia="zh-CN"/>
              </w:rPr>
            </w:pPr>
            <w:r>
              <w:rPr>
                <w:rFonts w:hint="eastAsia" w:ascii="仿宋_GB2312" w:hAnsi="仿宋_GB2312" w:eastAsia="仿宋_GB2312" w:cs="仿宋_GB2312"/>
                <w:color w:val="auto"/>
                <w:sz w:val="21"/>
                <w:szCs w:val="21"/>
                <w:highlight w:val="none"/>
              </w:rPr>
              <w:t>类似业绩</w:t>
            </w:r>
          </w:p>
        </w:tc>
        <w:tc>
          <w:tcPr>
            <w:tcW w:w="3662" w:type="pct"/>
            <w:tcBorders>
              <w:top w:val="single" w:color="auto" w:sz="4" w:space="0"/>
              <w:left w:val="single" w:color="auto" w:sz="4" w:space="0"/>
              <w:bottom w:val="single" w:color="auto" w:sz="4" w:space="0"/>
              <w:right w:val="single" w:color="auto" w:sz="4" w:space="0"/>
            </w:tcBorders>
            <w:vAlign w:val="center"/>
          </w:tcPr>
          <w:p>
            <w:pPr>
              <w:snapToGrid w:val="0"/>
              <w:spacing w:line="240" w:lineRule="exact"/>
              <w:jc w:val="left"/>
              <w:rPr>
                <w:rFonts w:hint="eastAsia" w:ascii="仿宋_GB2312" w:hAnsi="仿宋_GB2312" w:eastAsia="仿宋_GB2312" w:cs="仿宋_GB2312"/>
                <w:color w:val="auto"/>
                <w:sz w:val="21"/>
                <w:szCs w:val="21"/>
                <w:highlight w:val="none"/>
                <w:lang w:eastAsia="zh-CN"/>
              </w:rPr>
            </w:pPr>
            <w:r>
              <w:rPr>
                <w:rFonts w:hint="eastAsia" w:ascii="仿宋_GB2312" w:hAnsi="仿宋_GB2312" w:eastAsia="仿宋_GB2312" w:cs="仿宋_GB2312"/>
                <w:color w:val="auto"/>
                <w:sz w:val="21"/>
                <w:szCs w:val="21"/>
                <w:highlight w:val="none"/>
                <w:lang w:eastAsia="zh-CN"/>
              </w:rPr>
              <w:t>近三年类似项目业绩（合同或中标通知书原件扫描件，具体时间以合同签订日期或中标通知书落款日期为准，未注明日期或者不清楚则不予计取，不提供则不得分）每个合同得1分，最高得6分。</w:t>
            </w:r>
          </w:p>
        </w:tc>
        <w:tc>
          <w:tcPr>
            <w:tcW w:w="396" w:type="pct"/>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lang w:eastAsia="zh-CN"/>
              </w:rPr>
              <w:t>6</w:t>
            </w:r>
            <w:r>
              <w:rPr>
                <w:rFonts w:hint="eastAsia" w:ascii="仿宋_GB2312" w:hAnsi="仿宋_GB2312" w:eastAsia="仿宋_GB2312" w:cs="仿宋_GB2312"/>
                <w:color w:val="auto"/>
                <w:sz w:val="21"/>
                <w:szCs w:val="21"/>
                <w:highlight w:val="none"/>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4" w:hRule="atLeast"/>
          <w:jc w:val="center"/>
        </w:trPr>
        <w:tc>
          <w:tcPr>
            <w:tcW w:w="420" w:type="pct"/>
            <w:tcBorders>
              <w:top w:val="single" w:color="auto" w:sz="4" w:space="0"/>
              <w:left w:val="single" w:color="auto" w:sz="4" w:space="0"/>
              <w:bottom w:val="single" w:color="auto" w:sz="4" w:space="0"/>
              <w:right w:val="single" w:color="auto" w:sz="4" w:space="0"/>
            </w:tcBorders>
            <w:vAlign w:val="center"/>
          </w:tcPr>
          <w:p>
            <w:pPr>
              <w:snapToGrid w:val="0"/>
              <w:spacing w:line="240" w:lineRule="exact"/>
              <w:jc w:val="center"/>
              <w:rPr>
                <w:rFonts w:hint="eastAsia" w:ascii="仿宋_GB2312" w:hAnsi="仿宋_GB2312" w:eastAsia="仿宋_GB2312" w:cs="仿宋_GB2312"/>
                <w:color w:val="auto"/>
                <w:sz w:val="21"/>
                <w:szCs w:val="21"/>
                <w:highlight w:val="none"/>
                <w:lang w:eastAsia="zh-CN"/>
              </w:rPr>
            </w:pPr>
            <w:r>
              <w:rPr>
                <w:rFonts w:hint="eastAsia" w:ascii="仿宋_GB2312" w:hAnsi="仿宋_GB2312" w:eastAsia="仿宋_GB2312" w:cs="仿宋_GB2312"/>
                <w:color w:val="auto"/>
                <w:sz w:val="21"/>
                <w:szCs w:val="21"/>
                <w:highlight w:val="none"/>
              </w:rPr>
              <w:t>3</w:t>
            </w:r>
          </w:p>
        </w:tc>
        <w:tc>
          <w:tcPr>
            <w:tcW w:w="520" w:type="pct"/>
            <w:tcBorders>
              <w:top w:val="single" w:color="auto" w:sz="4" w:space="0"/>
              <w:left w:val="single" w:color="auto" w:sz="4" w:space="0"/>
              <w:bottom w:val="single" w:color="auto" w:sz="4" w:space="0"/>
              <w:right w:val="single" w:color="auto" w:sz="4" w:space="0"/>
            </w:tcBorders>
            <w:vAlign w:val="center"/>
          </w:tcPr>
          <w:p>
            <w:pPr>
              <w:kinsoku w:val="0"/>
              <w:overflowPunct w:val="0"/>
              <w:autoSpaceDE w:val="0"/>
              <w:autoSpaceDN w:val="0"/>
              <w:adjustRightInd w:val="0"/>
              <w:spacing w:line="240" w:lineRule="exact"/>
              <w:ind w:left="103"/>
              <w:jc w:val="center"/>
              <w:rPr>
                <w:rFonts w:hint="eastAsia" w:ascii="仿宋_GB2312" w:hAnsi="仿宋_GB2312" w:eastAsia="仿宋_GB2312" w:cs="仿宋_GB2312"/>
                <w:color w:val="auto"/>
                <w:sz w:val="21"/>
                <w:szCs w:val="21"/>
                <w:highlight w:val="none"/>
                <w:lang w:eastAsia="zh-CN"/>
              </w:rPr>
            </w:pPr>
            <w:r>
              <w:rPr>
                <w:rFonts w:hint="eastAsia" w:ascii="仿宋_GB2312" w:hAnsi="仿宋_GB2312" w:eastAsia="仿宋_GB2312" w:cs="仿宋_GB2312"/>
                <w:color w:val="auto"/>
                <w:sz w:val="21"/>
                <w:szCs w:val="21"/>
                <w:highlight w:val="none"/>
              </w:rPr>
              <w:t>对项目需求的理解</w:t>
            </w:r>
          </w:p>
        </w:tc>
        <w:tc>
          <w:tcPr>
            <w:tcW w:w="3662" w:type="pct"/>
            <w:tcBorders>
              <w:top w:val="single" w:color="auto" w:sz="4" w:space="0"/>
              <w:left w:val="single" w:color="auto" w:sz="4" w:space="0"/>
              <w:bottom w:val="single" w:color="auto" w:sz="4" w:space="0"/>
              <w:right w:val="single" w:color="auto" w:sz="4" w:space="0"/>
            </w:tcBorders>
            <w:vAlign w:val="center"/>
          </w:tcPr>
          <w:p>
            <w:pPr>
              <w:pStyle w:val="27"/>
              <w:tabs>
                <w:tab w:val="center" w:pos="4153"/>
                <w:tab w:val="right" w:pos="8306"/>
                <w:tab w:val="clear" w:pos="4680"/>
                <w:tab w:val="clear" w:pos="9360"/>
              </w:tabs>
              <w:spacing w:line="240" w:lineRule="exact"/>
              <w:jc w:val="left"/>
              <w:rPr>
                <w:rFonts w:hint="eastAsia" w:ascii="仿宋_GB2312" w:hAnsi="仿宋_GB2312" w:eastAsia="仿宋_GB2312" w:cs="仿宋_GB2312"/>
                <w:color w:val="auto"/>
                <w:sz w:val="21"/>
                <w:szCs w:val="21"/>
                <w:highlight w:val="none"/>
                <w:lang w:eastAsia="zh-CN"/>
              </w:rPr>
            </w:pPr>
            <w:r>
              <w:rPr>
                <w:rFonts w:hint="eastAsia" w:ascii="仿宋_GB2312" w:hAnsi="仿宋_GB2312" w:eastAsia="仿宋_GB2312" w:cs="仿宋_GB2312"/>
                <w:color w:val="auto"/>
                <w:sz w:val="21"/>
                <w:szCs w:val="21"/>
                <w:highlight w:val="none"/>
                <w:lang w:eastAsia="zh-CN"/>
              </w:rPr>
              <w:t>根据报价方对于采购需求及项目实际情况的理解，对本采购项目需求的理解准确到位，对采购项目的特点、重点、难点有针对性的切实可行的解决方法，措施科学全面，得14-20分；对采购项目需求的理解基本准确，对采购项目的特点、重点、难点的解决办法有一定的针对性，措施基本合理，得7-13分；对采购项目需求不够理解，对需求的特点、重点、难点的解决方法无针对性，措施不具体，错误较多，得 1-6分。</w:t>
            </w:r>
            <w:r>
              <w:rPr>
                <w:rFonts w:hint="eastAsia" w:ascii="仿宋_GB2312" w:hAnsi="仿宋_GB2312" w:eastAsia="仿宋_GB2312" w:cs="仿宋_GB2312"/>
                <w:color w:val="auto"/>
                <w:sz w:val="21"/>
                <w:szCs w:val="21"/>
                <w:highlight w:val="none"/>
              </w:rPr>
              <w:t>未提供相应内容的不得分。</w:t>
            </w:r>
          </w:p>
        </w:tc>
        <w:tc>
          <w:tcPr>
            <w:tcW w:w="396" w:type="pct"/>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lang w:eastAsia="zh-CN"/>
              </w:rPr>
              <w:t>20</w:t>
            </w:r>
            <w:r>
              <w:rPr>
                <w:rFonts w:hint="eastAsia" w:ascii="仿宋_GB2312" w:hAnsi="仿宋_GB2312" w:eastAsia="仿宋_GB2312" w:cs="仿宋_GB2312"/>
                <w:color w:val="auto"/>
                <w:sz w:val="21"/>
                <w:szCs w:val="21"/>
                <w:highlight w:val="none"/>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7" w:hRule="atLeast"/>
          <w:jc w:val="center"/>
        </w:trPr>
        <w:tc>
          <w:tcPr>
            <w:tcW w:w="420" w:type="pct"/>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hint="eastAsia" w:ascii="仿宋_GB2312" w:hAnsi="仿宋_GB2312" w:eastAsia="仿宋_GB2312" w:cs="仿宋_GB2312"/>
                <w:color w:val="auto"/>
                <w:sz w:val="21"/>
                <w:szCs w:val="21"/>
                <w:highlight w:val="none"/>
                <w:lang w:eastAsia="zh-CN"/>
              </w:rPr>
            </w:pPr>
            <w:r>
              <w:rPr>
                <w:rFonts w:hint="eastAsia" w:ascii="仿宋_GB2312" w:hAnsi="仿宋_GB2312" w:eastAsia="仿宋_GB2312" w:cs="仿宋_GB2312"/>
                <w:color w:val="auto"/>
                <w:sz w:val="21"/>
                <w:szCs w:val="21"/>
                <w:highlight w:val="none"/>
              </w:rPr>
              <w:t>4</w:t>
            </w:r>
          </w:p>
        </w:tc>
        <w:tc>
          <w:tcPr>
            <w:tcW w:w="520" w:type="pct"/>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设备的参数</w:t>
            </w:r>
          </w:p>
        </w:tc>
        <w:tc>
          <w:tcPr>
            <w:tcW w:w="3662" w:type="pct"/>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hint="eastAsia" w:ascii="仿宋_GB2312" w:hAnsi="仿宋_GB2312" w:eastAsia="仿宋_GB2312" w:cs="仿宋_GB2312"/>
                <w:color w:val="auto"/>
                <w:sz w:val="21"/>
                <w:szCs w:val="21"/>
                <w:highlight w:val="none"/>
                <w:lang w:eastAsia="zh-CN"/>
              </w:rPr>
            </w:pPr>
            <w:r>
              <w:rPr>
                <w:rFonts w:hint="eastAsia" w:ascii="仿宋_GB2312" w:hAnsi="仿宋_GB2312" w:eastAsia="仿宋_GB2312" w:cs="仿宋_GB2312"/>
                <w:color w:val="auto"/>
                <w:sz w:val="21"/>
                <w:szCs w:val="21"/>
                <w:highlight w:val="none"/>
                <w:lang w:eastAsia="zh-CN"/>
              </w:rPr>
              <w:t>根据所提供的产品功能及特点、产品性能、产品资料（除“</w:t>
            </w:r>
            <w:r>
              <w:rPr>
                <w:rFonts w:hint="eastAsia" w:ascii="仿宋_GB2312" w:hAnsi="仿宋_GB2312" w:eastAsia="仿宋_GB2312" w:cs="仿宋_GB2312"/>
                <w:color w:val="auto"/>
                <w:kern w:val="2"/>
                <w:sz w:val="21"/>
                <w:szCs w:val="21"/>
                <w:highlight w:val="none"/>
                <w:lang w:eastAsia="zh-CN"/>
              </w:rPr>
              <w:t>*</w:t>
            </w:r>
            <w:r>
              <w:rPr>
                <w:rFonts w:hint="eastAsia" w:ascii="仿宋_GB2312" w:hAnsi="仿宋_GB2312" w:eastAsia="仿宋_GB2312" w:cs="仿宋_GB2312"/>
                <w:color w:val="auto"/>
                <w:sz w:val="21"/>
                <w:szCs w:val="21"/>
                <w:highlight w:val="none"/>
                <w:lang w:eastAsia="zh-CN"/>
              </w:rPr>
              <w:t>”重要指标外的其他技术参数）与需求的吻合程度和偏差情况，是否能够满足采购需求要求，产品资料是否详细完整等进行综合评审。产品资料详细完整，产品性能完全满足采购需求，投标产品功能和特点的描述清晰准确，综合性能出色（先进性、兼容性、可扩展性等），得</w:t>
            </w:r>
            <w:r>
              <w:rPr>
                <w:rFonts w:hint="eastAsia" w:ascii="仿宋_GB2312" w:hAnsi="仿宋_GB2312" w:eastAsia="仿宋_GB2312" w:cs="仿宋_GB2312"/>
                <w:color w:val="auto"/>
                <w:sz w:val="21"/>
                <w:szCs w:val="21"/>
                <w:highlight w:val="none"/>
                <w:lang w:val="en-US" w:eastAsia="zh-CN"/>
              </w:rPr>
              <w:t>22-28</w:t>
            </w:r>
            <w:r>
              <w:rPr>
                <w:rFonts w:hint="eastAsia" w:ascii="仿宋_GB2312" w:hAnsi="仿宋_GB2312" w:eastAsia="仿宋_GB2312" w:cs="仿宋_GB2312"/>
                <w:color w:val="auto"/>
                <w:sz w:val="21"/>
                <w:szCs w:val="21"/>
                <w:highlight w:val="none"/>
                <w:lang w:eastAsia="zh-CN"/>
              </w:rPr>
              <w:t>分；产品资料不能完全体现产品特点，功能描述不完整，少量性能指标不满足采购需求，但不影响主要功能的，得</w:t>
            </w:r>
            <w:r>
              <w:rPr>
                <w:rFonts w:hint="eastAsia" w:ascii="仿宋_GB2312" w:hAnsi="仿宋_GB2312" w:eastAsia="仿宋_GB2312" w:cs="仿宋_GB2312"/>
                <w:color w:val="auto"/>
                <w:sz w:val="21"/>
                <w:szCs w:val="21"/>
                <w:highlight w:val="none"/>
                <w:lang w:val="en-US" w:eastAsia="zh-CN"/>
              </w:rPr>
              <w:t>15-21</w:t>
            </w:r>
            <w:r>
              <w:rPr>
                <w:rFonts w:hint="eastAsia" w:ascii="仿宋_GB2312" w:hAnsi="仿宋_GB2312" w:eastAsia="仿宋_GB2312" w:cs="仿宋_GB2312"/>
                <w:color w:val="auto"/>
                <w:sz w:val="21"/>
                <w:szCs w:val="21"/>
                <w:highlight w:val="none"/>
                <w:lang w:eastAsia="zh-CN"/>
              </w:rPr>
              <w:t>分；产品资料内容缺漏，所选用产品有多处性能指标低于采购需求，并影响到主要功能的，得</w:t>
            </w:r>
            <w:r>
              <w:rPr>
                <w:rFonts w:hint="eastAsia" w:ascii="仿宋_GB2312" w:hAnsi="仿宋_GB2312" w:eastAsia="仿宋_GB2312" w:cs="仿宋_GB2312"/>
                <w:color w:val="auto"/>
                <w:sz w:val="21"/>
                <w:szCs w:val="21"/>
                <w:highlight w:val="none"/>
                <w:lang w:val="en-US" w:eastAsia="zh-CN"/>
              </w:rPr>
              <w:t>8-14</w:t>
            </w:r>
            <w:r>
              <w:rPr>
                <w:rFonts w:hint="eastAsia" w:ascii="仿宋_GB2312" w:hAnsi="仿宋_GB2312" w:eastAsia="仿宋_GB2312" w:cs="仿宋_GB2312"/>
                <w:color w:val="auto"/>
                <w:sz w:val="21"/>
                <w:szCs w:val="21"/>
                <w:highlight w:val="none"/>
                <w:lang w:eastAsia="zh-CN"/>
              </w:rPr>
              <w:t>分；产品资料内容有很多缺漏，所选用产品大量性能指标不满足采购需求，并严重影响到主要功能的，得</w:t>
            </w:r>
            <w:r>
              <w:rPr>
                <w:rFonts w:hint="eastAsia" w:ascii="仿宋_GB2312" w:hAnsi="仿宋_GB2312" w:eastAsia="仿宋_GB2312" w:cs="仿宋_GB2312"/>
                <w:color w:val="auto"/>
                <w:sz w:val="21"/>
                <w:szCs w:val="21"/>
                <w:highlight w:val="none"/>
                <w:lang w:val="en-US" w:eastAsia="zh-CN"/>
              </w:rPr>
              <w:t>1-7</w:t>
            </w:r>
            <w:r>
              <w:rPr>
                <w:rFonts w:hint="eastAsia" w:ascii="仿宋_GB2312" w:hAnsi="仿宋_GB2312" w:eastAsia="仿宋_GB2312" w:cs="仿宋_GB2312"/>
                <w:color w:val="auto"/>
                <w:sz w:val="21"/>
                <w:szCs w:val="21"/>
                <w:highlight w:val="none"/>
                <w:lang w:eastAsia="zh-CN"/>
              </w:rPr>
              <w:t>分。</w:t>
            </w:r>
          </w:p>
        </w:tc>
        <w:tc>
          <w:tcPr>
            <w:tcW w:w="396" w:type="pct"/>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lang w:eastAsia="zh-CN"/>
              </w:rPr>
              <w:t>2</w:t>
            </w:r>
            <w:r>
              <w:rPr>
                <w:rFonts w:hint="eastAsia" w:ascii="仿宋_GB2312" w:hAnsi="仿宋_GB2312" w:eastAsia="仿宋_GB2312" w:cs="仿宋_GB2312"/>
                <w:color w:val="auto"/>
                <w:sz w:val="21"/>
                <w:szCs w:val="21"/>
                <w:highlight w:val="none"/>
                <w:lang w:val="en-US" w:eastAsia="zh-CN"/>
              </w:rPr>
              <w:t>8</w:t>
            </w:r>
            <w:r>
              <w:rPr>
                <w:rFonts w:hint="eastAsia" w:ascii="仿宋_GB2312" w:hAnsi="仿宋_GB2312" w:eastAsia="仿宋_GB2312" w:cs="仿宋_GB2312"/>
                <w:color w:val="auto"/>
                <w:sz w:val="21"/>
                <w:szCs w:val="21"/>
                <w:highlight w:val="none"/>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5" w:hRule="atLeast"/>
          <w:jc w:val="center"/>
        </w:trPr>
        <w:tc>
          <w:tcPr>
            <w:tcW w:w="779"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hint="eastAsia" w:ascii="仿宋_GB2312" w:hAnsi="仿宋_GB2312" w:eastAsia="仿宋_GB2312" w:cs="仿宋_GB2312"/>
                <w:color w:val="auto"/>
                <w:sz w:val="21"/>
                <w:szCs w:val="21"/>
                <w:highlight w:val="none"/>
                <w:lang w:eastAsia="zh-CN"/>
              </w:rPr>
            </w:pPr>
            <w:r>
              <w:rPr>
                <w:rFonts w:hint="eastAsia" w:ascii="仿宋_GB2312" w:hAnsi="仿宋_GB2312" w:eastAsia="仿宋_GB2312" w:cs="仿宋_GB2312"/>
                <w:color w:val="auto"/>
                <w:sz w:val="21"/>
                <w:szCs w:val="21"/>
                <w:highlight w:val="none"/>
              </w:rPr>
              <w:t>5</w:t>
            </w:r>
          </w:p>
        </w:tc>
        <w:tc>
          <w:tcPr>
            <w:tcW w:w="966"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重要指标响应程度</w:t>
            </w:r>
          </w:p>
        </w:tc>
        <w:tc>
          <w:tcPr>
            <w:tcW w:w="6803" w:type="dxa"/>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hint="eastAsia" w:ascii="仿宋_GB2312" w:hAnsi="仿宋_GB2312" w:eastAsia="仿宋_GB2312" w:cs="仿宋_GB2312"/>
                <w:color w:val="auto"/>
                <w:sz w:val="21"/>
                <w:szCs w:val="21"/>
                <w:highlight w:val="none"/>
                <w:lang w:eastAsia="zh-CN"/>
              </w:rPr>
            </w:pPr>
            <w:r>
              <w:rPr>
                <w:rFonts w:hint="eastAsia" w:ascii="仿宋_GB2312" w:hAnsi="仿宋_GB2312" w:eastAsia="仿宋_GB2312" w:cs="仿宋_GB2312"/>
                <w:color w:val="auto"/>
                <w:sz w:val="21"/>
                <w:szCs w:val="21"/>
                <w:highlight w:val="none"/>
                <w:lang w:eastAsia="zh-CN"/>
              </w:rPr>
              <w:t>技术参数要求中标“</w:t>
            </w: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1"/>
                <w:szCs w:val="21"/>
                <w:highlight w:val="none"/>
                <w:lang w:eastAsia="zh-CN"/>
              </w:rPr>
              <w:t>”项为重要指标，需按要求提供相关证明资料予以佐证，每有一项不满足或未提供相关证明材料的，扣2分，扣完为止，全部满足得</w:t>
            </w:r>
            <w:r>
              <w:rPr>
                <w:rFonts w:hint="eastAsia" w:ascii="仿宋_GB2312" w:hAnsi="仿宋_GB2312" w:eastAsia="仿宋_GB2312" w:cs="仿宋_GB2312"/>
                <w:color w:val="auto"/>
                <w:sz w:val="21"/>
                <w:szCs w:val="21"/>
                <w:highlight w:val="none"/>
                <w:lang w:val="en-US" w:eastAsia="zh-CN"/>
              </w:rPr>
              <w:t>4</w:t>
            </w:r>
            <w:r>
              <w:rPr>
                <w:rFonts w:hint="eastAsia" w:ascii="仿宋_GB2312" w:hAnsi="仿宋_GB2312" w:eastAsia="仿宋_GB2312" w:cs="仿宋_GB2312"/>
                <w:color w:val="auto"/>
                <w:sz w:val="21"/>
                <w:szCs w:val="21"/>
                <w:highlight w:val="none"/>
                <w:lang w:eastAsia="zh-CN"/>
              </w:rPr>
              <w:t>分。</w:t>
            </w:r>
          </w:p>
        </w:tc>
        <w:tc>
          <w:tcPr>
            <w:tcW w:w="736"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lang w:val="en-US" w:eastAsia="zh-CN"/>
              </w:rPr>
              <w:t>4</w:t>
            </w:r>
            <w:r>
              <w:rPr>
                <w:rFonts w:hint="eastAsia" w:ascii="仿宋_GB2312" w:hAnsi="仿宋_GB2312" w:eastAsia="仿宋_GB2312" w:cs="仿宋_GB2312"/>
                <w:color w:val="auto"/>
                <w:sz w:val="21"/>
                <w:szCs w:val="21"/>
                <w:highlight w:val="none"/>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2" w:hRule="atLeast"/>
          <w:jc w:val="center"/>
        </w:trPr>
        <w:tc>
          <w:tcPr>
            <w:tcW w:w="420" w:type="pct"/>
            <w:tcBorders>
              <w:top w:val="single" w:color="auto" w:sz="4" w:space="0"/>
              <w:left w:val="single" w:color="auto" w:sz="4" w:space="0"/>
              <w:bottom w:val="single" w:color="auto" w:sz="4" w:space="0"/>
              <w:right w:val="single" w:color="auto" w:sz="4" w:space="0"/>
            </w:tcBorders>
            <w:vAlign w:val="center"/>
          </w:tcPr>
          <w:p>
            <w:pPr>
              <w:snapToGrid w:val="0"/>
              <w:spacing w:line="240" w:lineRule="exact"/>
              <w:ind w:firstLine="210" w:firstLineChars="100"/>
              <w:jc w:val="center"/>
              <w:rPr>
                <w:rFonts w:hint="eastAsia" w:ascii="仿宋_GB2312" w:hAnsi="仿宋_GB2312" w:eastAsia="仿宋_GB2312" w:cs="仿宋_GB2312"/>
                <w:color w:val="auto"/>
                <w:sz w:val="21"/>
                <w:szCs w:val="21"/>
                <w:highlight w:val="none"/>
                <w:lang w:eastAsia="zh-CN"/>
              </w:rPr>
            </w:pPr>
            <w:r>
              <w:rPr>
                <w:rFonts w:hint="eastAsia" w:ascii="仿宋_GB2312" w:hAnsi="仿宋_GB2312" w:eastAsia="仿宋_GB2312" w:cs="仿宋_GB2312"/>
                <w:color w:val="auto"/>
                <w:sz w:val="21"/>
                <w:szCs w:val="21"/>
                <w:highlight w:val="none"/>
              </w:rPr>
              <w:t>6</w:t>
            </w:r>
          </w:p>
        </w:tc>
        <w:tc>
          <w:tcPr>
            <w:tcW w:w="520" w:type="pct"/>
            <w:tcBorders>
              <w:top w:val="single" w:color="auto" w:sz="4" w:space="0"/>
              <w:left w:val="single" w:color="auto" w:sz="4" w:space="0"/>
              <w:bottom w:val="single" w:color="auto" w:sz="4" w:space="0"/>
              <w:right w:val="single" w:color="auto" w:sz="4" w:space="0"/>
            </w:tcBorders>
            <w:vAlign w:val="center"/>
          </w:tcPr>
          <w:p>
            <w:pPr>
              <w:snapToGri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售后服</w:t>
            </w:r>
          </w:p>
          <w:p>
            <w:pPr>
              <w:snapToGri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务</w:t>
            </w:r>
          </w:p>
        </w:tc>
        <w:tc>
          <w:tcPr>
            <w:tcW w:w="3662" w:type="pct"/>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hint="eastAsia" w:ascii="仿宋_GB2312" w:hAnsi="仿宋_GB2312" w:eastAsia="仿宋_GB2312" w:cs="仿宋_GB2312"/>
                <w:color w:val="auto"/>
                <w:sz w:val="21"/>
                <w:szCs w:val="21"/>
                <w:highlight w:val="none"/>
                <w:lang w:eastAsia="zh-CN"/>
              </w:rPr>
            </w:pPr>
            <w:r>
              <w:rPr>
                <w:rFonts w:hint="eastAsia" w:ascii="仿宋_GB2312" w:hAnsi="仿宋_GB2312" w:eastAsia="仿宋_GB2312" w:cs="仿宋_GB2312"/>
                <w:color w:val="auto"/>
                <w:sz w:val="21"/>
                <w:szCs w:val="21"/>
                <w:highlight w:val="none"/>
                <w:lang w:eastAsia="zh-CN"/>
              </w:rPr>
              <w:t>根据所提供的产品详细配备清单清晰，固定售后服务情况、产品保修响应时间、到场时间及时，配套服务方案完善的得</w:t>
            </w:r>
            <w:r>
              <w:rPr>
                <w:rFonts w:hint="eastAsia" w:ascii="仿宋_GB2312" w:hAnsi="仿宋_GB2312" w:eastAsia="仿宋_GB2312" w:cs="仿宋_GB2312"/>
                <w:color w:val="auto"/>
                <w:sz w:val="21"/>
                <w:szCs w:val="21"/>
                <w:highlight w:val="none"/>
                <w:lang w:val="en-US" w:eastAsia="zh-CN"/>
              </w:rPr>
              <w:t>5-6分；</w:t>
            </w:r>
            <w:r>
              <w:rPr>
                <w:rFonts w:hint="eastAsia" w:ascii="仿宋_GB2312" w:hAnsi="仿宋_GB2312" w:eastAsia="仿宋_GB2312" w:cs="仿宋_GB2312"/>
                <w:color w:val="auto"/>
                <w:sz w:val="21"/>
                <w:szCs w:val="21"/>
                <w:highlight w:val="none"/>
                <w:lang w:eastAsia="zh-CN"/>
              </w:rPr>
              <w:t>产品详细配备清单不全、固定售后服务情况、产品保修响应时间、到场时间欠缺，配套服务方案的情况不完善的得</w:t>
            </w:r>
            <w:r>
              <w:rPr>
                <w:rFonts w:hint="eastAsia" w:ascii="仿宋_GB2312" w:hAnsi="仿宋_GB2312" w:eastAsia="仿宋_GB2312" w:cs="仿宋_GB2312"/>
                <w:color w:val="auto"/>
                <w:sz w:val="21"/>
                <w:szCs w:val="21"/>
                <w:highlight w:val="none"/>
                <w:lang w:val="en-US" w:eastAsia="zh-CN"/>
              </w:rPr>
              <w:t>3-4分；</w:t>
            </w:r>
            <w:r>
              <w:rPr>
                <w:rFonts w:hint="eastAsia" w:ascii="仿宋_GB2312" w:hAnsi="仿宋_GB2312" w:eastAsia="仿宋_GB2312" w:cs="仿宋_GB2312"/>
                <w:color w:val="auto"/>
                <w:sz w:val="21"/>
                <w:szCs w:val="21"/>
                <w:highlight w:val="none"/>
                <w:lang w:eastAsia="zh-CN"/>
              </w:rPr>
              <w:t>产品详细配备清单缺失、固定售后服务情况、产品保修响应时间、到场时间无法保障，配套服务方案欠缺的得</w:t>
            </w:r>
            <w:r>
              <w:rPr>
                <w:rFonts w:hint="eastAsia" w:ascii="仿宋_GB2312" w:hAnsi="仿宋_GB2312" w:eastAsia="仿宋_GB2312" w:cs="仿宋_GB2312"/>
                <w:color w:val="auto"/>
                <w:sz w:val="21"/>
                <w:szCs w:val="21"/>
                <w:highlight w:val="none"/>
                <w:lang w:val="en-US" w:eastAsia="zh-CN"/>
              </w:rPr>
              <w:t>1-2分；无相关配置清单、售后相应、配套服务的得0分。</w:t>
            </w:r>
          </w:p>
        </w:tc>
        <w:tc>
          <w:tcPr>
            <w:tcW w:w="396" w:type="pct"/>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lang w:val="en-US" w:eastAsia="zh-CN"/>
              </w:rPr>
              <w:t xml:space="preserve"> 6</w:t>
            </w:r>
            <w:r>
              <w:rPr>
                <w:rFonts w:hint="eastAsia" w:ascii="仿宋_GB2312" w:hAnsi="仿宋_GB2312" w:eastAsia="仿宋_GB2312" w:cs="仿宋_GB2312"/>
                <w:color w:val="auto"/>
                <w:sz w:val="21"/>
                <w:szCs w:val="21"/>
                <w:highlight w:val="none"/>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0" w:hRule="atLeast"/>
          <w:jc w:val="center"/>
        </w:trPr>
        <w:tc>
          <w:tcPr>
            <w:tcW w:w="420" w:type="pct"/>
            <w:tcBorders>
              <w:top w:val="single" w:color="auto" w:sz="4" w:space="0"/>
              <w:left w:val="single" w:color="auto" w:sz="4" w:space="0"/>
              <w:bottom w:val="single" w:color="auto" w:sz="4" w:space="0"/>
              <w:right w:val="single" w:color="auto" w:sz="4" w:space="0"/>
            </w:tcBorders>
            <w:vAlign w:val="center"/>
          </w:tcPr>
          <w:p>
            <w:pPr>
              <w:snapToGrid w:val="0"/>
              <w:spacing w:line="240" w:lineRule="exact"/>
              <w:ind w:firstLine="210" w:firstLineChars="100"/>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7</w:t>
            </w:r>
          </w:p>
        </w:tc>
        <w:tc>
          <w:tcPr>
            <w:tcW w:w="520" w:type="pct"/>
            <w:tcBorders>
              <w:top w:val="single" w:color="auto" w:sz="4" w:space="0"/>
              <w:left w:val="single" w:color="auto" w:sz="4" w:space="0"/>
              <w:bottom w:val="single" w:color="auto" w:sz="4" w:space="0"/>
              <w:right w:val="single" w:color="auto" w:sz="4" w:space="0"/>
            </w:tcBorders>
            <w:vAlign w:val="center"/>
          </w:tcPr>
          <w:p>
            <w:pPr>
              <w:snapToGrid w:val="0"/>
              <w:spacing w:line="240" w:lineRule="exact"/>
              <w:jc w:val="center"/>
              <w:rPr>
                <w:rFonts w:hint="eastAsia" w:ascii="仿宋_GB2312" w:hAnsi="仿宋_GB2312" w:eastAsia="仿宋_GB2312" w:cs="仿宋_GB2312"/>
                <w:color w:val="auto"/>
                <w:sz w:val="21"/>
                <w:szCs w:val="21"/>
                <w:highlight w:val="none"/>
                <w:lang w:eastAsia="zh-CN"/>
              </w:rPr>
            </w:pPr>
            <w:r>
              <w:rPr>
                <w:rFonts w:hint="eastAsia" w:ascii="仿宋_GB2312" w:hAnsi="仿宋_GB2312" w:eastAsia="仿宋_GB2312" w:cs="仿宋_GB2312"/>
                <w:color w:val="auto"/>
                <w:sz w:val="21"/>
                <w:szCs w:val="21"/>
                <w:highlight w:val="none"/>
                <w:lang w:eastAsia="zh-CN"/>
              </w:rPr>
              <w:t>质保期满后维保服务方案</w:t>
            </w:r>
          </w:p>
        </w:tc>
        <w:tc>
          <w:tcPr>
            <w:tcW w:w="3662" w:type="pct"/>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hint="eastAsia" w:ascii="仿宋_GB2312" w:hAnsi="仿宋_GB2312" w:eastAsia="仿宋_GB2312" w:cs="仿宋_GB2312"/>
                <w:color w:val="auto"/>
                <w:sz w:val="21"/>
                <w:szCs w:val="21"/>
                <w:highlight w:val="none"/>
                <w:lang w:eastAsia="zh-CN"/>
              </w:rPr>
            </w:pPr>
            <w:r>
              <w:rPr>
                <w:rFonts w:hint="eastAsia" w:ascii="仿宋_GB2312" w:hAnsi="仿宋_GB2312" w:eastAsia="仿宋_GB2312" w:cs="仿宋_GB2312"/>
                <w:color w:val="auto"/>
                <w:sz w:val="21"/>
                <w:szCs w:val="21"/>
                <w:highlight w:val="none"/>
                <w:lang w:eastAsia="zh-CN"/>
              </w:rPr>
              <w:t>质保期内对设备提供的质量保证、软件功能更新、硬件设备故障更换（非人为原因）、备品备件报价情况、设备运行维护培训等：各项服务内容完善、具体运维服务实施方案与措施强尽，报价文件编制完整性很合理的得</w:t>
            </w:r>
            <w:r>
              <w:rPr>
                <w:rFonts w:hint="eastAsia" w:ascii="仿宋_GB2312" w:hAnsi="仿宋_GB2312" w:eastAsia="仿宋_GB2312" w:cs="仿宋_GB2312"/>
                <w:color w:val="auto"/>
                <w:sz w:val="21"/>
                <w:szCs w:val="21"/>
                <w:highlight w:val="none"/>
                <w:lang w:val="en-US" w:eastAsia="zh-CN"/>
              </w:rPr>
              <w:t>6-8</w:t>
            </w:r>
            <w:r>
              <w:rPr>
                <w:rFonts w:hint="eastAsia" w:ascii="仿宋_GB2312" w:hAnsi="仿宋_GB2312" w:eastAsia="仿宋_GB2312" w:cs="仿宋_GB2312"/>
                <w:color w:val="auto"/>
                <w:sz w:val="21"/>
                <w:szCs w:val="21"/>
                <w:highlight w:val="none"/>
                <w:lang w:eastAsia="zh-CN"/>
              </w:rPr>
              <w:t>分；各项服务内容一般、具体运维服务实施方案与措施有描述，但有所欠缺，报价文件编制完整性基本符合的得</w:t>
            </w:r>
            <w:r>
              <w:rPr>
                <w:rFonts w:hint="eastAsia" w:ascii="仿宋_GB2312" w:hAnsi="仿宋_GB2312" w:eastAsia="仿宋_GB2312" w:cs="仿宋_GB2312"/>
                <w:color w:val="auto"/>
                <w:sz w:val="21"/>
                <w:szCs w:val="21"/>
                <w:highlight w:val="none"/>
                <w:lang w:val="en-US" w:eastAsia="zh-CN"/>
              </w:rPr>
              <w:t>3-5</w:t>
            </w:r>
            <w:r>
              <w:rPr>
                <w:rFonts w:hint="eastAsia" w:ascii="仿宋_GB2312" w:hAnsi="仿宋_GB2312" w:eastAsia="仿宋_GB2312" w:cs="仿宋_GB2312"/>
                <w:color w:val="auto"/>
                <w:sz w:val="21"/>
                <w:szCs w:val="21"/>
                <w:highlight w:val="none"/>
                <w:lang w:eastAsia="zh-CN"/>
              </w:rPr>
              <w:t>分；各项服务内容缺失、具体运维服务实施方案与措施不完备较多，报价文件编制没有准对本项目要求的得1-</w:t>
            </w:r>
            <w:r>
              <w:rPr>
                <w:rFonts w:hint="eastAsia" w:ascii="仿宋_GB2312" w:hAnsi="仿宋_GB2312" w:eastAsia="仿宋_GB2312" w:cs="仿宋_GB2312"/>
                <w:color w:val="auto"/>
                <w:sz w:val="21"/>
                <w:szCs w:val="21"/>
                <w:highlight w:val="none"/>
                <w:lang w:val="en-US" w:eastAsia="zh-CN"/>
              </w:rPr>
              <w:t>2</w:t>
            </w:r>
            <w:r>
              <w:rPr>
                <w:rFonts w:hint="eastAsia" w:ascii="仿宋_GB2312" w:hAnsi="仿宋_GB2312" w:eastAsia="仿宋_GB2312" w:cs="仿宋_GB2312"/>
                <w:color w:val="auto"/>
                <w:sz w:val="21"/>
                <w:szCs w:val="21"/>
                <w:highlight w:val="none"/>
                <w:lang w:eastAsia="zh-CN"/>
              </w:rPr>
              <w:t xml:space="preserve"> 分；无方案 得0分。</w:t>
            </w:r>
          </w:p>
        </w:tc>
        <w:tc>
          <w:tcPr>
            <w:tcW w:w="396" w:type="pct"/>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eastAsia" w:ascii="仿宋_GB2312" w:hAnsi="仿宋_GB2312" w:eastAsia="仿宋_GB2312" w:cs="仿宋_GB2312"/>
                <w:color w:val="auto"/>
                <w:sz w:val="21"/>
                <w:szCs w:val="21"/>
                <w:highlight w:val="none"/>
                <w:lang w:eastAsia="zh-CN"/>
              </w:rPr>
            </w:pPr>
            <w:r>
              <w:rPr>
                <w:rFonts w:hint="eastAsia" w:ascii="仿宋_GB2312" w:hAnsi="仿宋_GB2312" w:eastAsia="仿宋_GB2312" w:cs="仿宋_GB2312"/>
                <w:color w:val="auto"/>
                <w:sz w:val="21"/>
                <w:szCs w:val="21"/>
                <w:highlight w:val="none"/>
                <w:lang w:val="en-US" w:eastAsia="zh-CN"/>
              </w:rPr>
              <w:t xml:space="preserve"> 8</w:t>
            </w:r>
            <w:r>
              <w:rPr>
                <w:rFonts w:hint="eastAsia" w:ascii="仿宋_GB2312" w:hAnsi="仿宋_GB2312" w:eastAsia="仿宋_GB2312" w:cs="仿宋_GB2312"/>
                <w:color w:val="auto"/>
                <w:sz w:val="21"/>
                <w:szCs w:val="21"/>
                <w:highlight w:val="none"/>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6" w:hRule="atLeast"/>
          <w:jc w:val="center"/>
        </w:trPr>
        <w:tc>
          <w:tcPr>
            <w:tcW w:w="420" w:type="pct"/>
            <w:tcBorders>
              <w:top w:val="single" w:color="auto" w:sz="4" w:space="0"/>
              <w:left w:val="single" w:color="auto" w:sz="4" w:space="0"/>
              <w:bottom w:val="single" w:color="auto" w:sz="4" w:space="0"/>
              <w:right w:val="single" w:color="auto" w:sz="4" w:space="0"/>
            </w:tcBorders>
            <w:vAlign w:val="center"/>
          </w:tcPr>
          <w:p>
            <w:pPr>
              <w:snapToGrid w:val="0"/>
              <w:spacing w:line="240" w:lineRule="exact"/>
              <w:ind w:firstLine="210" w:firstLineChars="100"/>
              <w:jc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8</w:t>
            </w:r>
          </w:p>
        </w:tc>
        <w:tc>
          <w:tcPr>
            <w:tcW w:w="520" w:type="pct"/>
            <w:tcBorders>
              <w:top w:val="single" w:color="auto" w:sz="4" w:space="0"/>
              <w:left w:val="single" w:color="auto" w:sz="4" w:space="0"/>
              <w:bottom w:val="single" w:color="auto" w:sz="4" w:space="0"/>
              <w:right w:val="single" w:color="auto" w:sz="4" w:space="0"/>
            </w:tcBorders>
            <w:vAlign w:val="center"/>
          </w:tcPr>
          <w:p>
            <w:pPr>
              <w:snapToGrid w:val="0"/>
              <w:spacing w:line="240" w:lineRule="exact"/>
              <w:jc w:val="center"/>
              <w:rPr>
                <w:rFonts w:hint="eastAsia" w:ascii="仿宋_GB2312" w:hAnsi="仿宋_GB2312" w:eastAsia="仿宋_GB2312" w:cs="仿宋_GB2312"/>
                <w:color w:val="auto"/>
                <w:sz w:val="21"/>
                <w:szCs w:val="21"/>
                <w:highlight w:val="none"/>
                <w:lang w:eastAsia="zh-CN"/>
              </w:rPr>
            </w:pPr>
            <w:r>
              <w:rPr>
                <w:rFonts w:hint="eastAsia" w:ascii="仿宋_GB2312" w:hAnsi="仿宋_GB2312" w:eastAsia="仿宋_GB2312" w:cs="仿宋_GB2312"/>
                <w:color w:val="auto"/>
                <w:sz w:val="21"/>
                <w:szCs w:val="21"/>
                <w:highlight w:val="none"/>
                <w:lang w:eastAsia="zh-CN"/>
              </w:rPr>
              <w:t>安装调试验收及培训</w:t>
            </w:r>
          </w:p>
        </w:tc>
        <w:tc>
          <w:tcPr>
            <w:tcW w:w="3662" w:type="pct"/>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eastAsia="zh-CN"/>
              </w:rPr>
              <w:t>产品的现场搬运方案、提供产品安装和维修所需的专用工具和辅助材料安装的情况，调试方法、程序及关键点，产品验收方案的合理性和完整性，对提供操作及维修人员培训及其培训次数、提供免费技术咨询服务。到货、验收方案详尽，培训方案，技术咨询充分得</w:t>
            </w:r>
            <w:r>
              <w:rPr>
                <w:rFonts w:hint="eastAsia" w:ascii="仿宋_GB2312" w:hAnsi="仿宋_GB2312" w:eastAsia="仿宋_GB2312" w:cs="仿宋_GB2312"/>
                <w:color w:val="auto"/>
                <w:sz w:val="21"/>
                <w:szCs w:val="21"/>
                <w:highlight w:val="none"/>
                <w:lang w:val="en-US" w:eastAsia="zh-CN"/>
              </w:rPr>
              <w:t>6-8</w:t>
            </w:r>
            <w:r>
              <w:rPr>
                <w:rFonts w:hint="eastAsia" w:ascii="仿宋_GB2312" w:hAnsi="仿宋_GB2312" w:eastAsia="仿宋_GB2312" w:cs="仿宋_GB2312"/>
                <w:color w:val="auto"/>
                <w:sz w:val="21"/>
                <w:szCs w:val="21"/>
                <w:highlight w:val="none"/>
                <w:lang w:eastAsia="zh-CN"/>
              </w:rPr>
              <w:t>分；到货、验收方案，培训方案，技术咨询一般得</w:t>
            </w:r>
            <w:r>
              <w:rPr>
                <w:rFonts w:hint="eastAsia" w:ascii="仿宋_GB2312" w:hAnsi="仿宋_GB2312" w:eastAsia="仿宋_GB2312" w:cs="仿宋_GB2312"/>
                <w:color w:val="auto"/>
                <w:sz w:val="21"/>
                <w:szCs w:val="21"/>
                <w:highlight w:val="none"/>
                <w:lang w:val="en-US" w:eastAsia="zh-CN"/>
              </w:rPr>
              <w:t>3-5</w:t>
            </w:r>
            <w:r>
              <w:rPr>
                <w:rFonts w:hint="eastAsia" w:ascii="仿宋_GB2312" w:hAnsi="仿宋_GB2312" w:eastAsia="仿宋_GB2312" w:cs="仿宋_GB2312"/>
                <w:color w:val="auto"/>
                <w:sz w:val="21"/>
                <w:szCs w:val="21"/>
                <w:highlight w:val="none"/>
                <w:lang w:eastAsia="zh-CN"/>
              </w:rPr>
              <w:t>分；到货、验收方案，培训方案，技术咨询欠缺、简单得</w:t>
            </w:r>
            <w:r>
              <w:rPr>
                <w:rFonts w:hint="eastAsia" w:ascii="仿宋_GB2312" w:hAnsi="仿宋_GB2312" w:eastAsia="仿宋_GB2312" w:cs="仿宋_GB2312"/>
                <w:color w:val="auto"/>
                <w:sz w:val="21"/>
                <w:szCs w:val="21"/>
                <w:highlight w:val="none"/>
                <w:lang w:val="en-US" w:eastAsia="zh-CN"/>
              </w:rPr>
              <w:t>1-2</w:t>
            </w:r>
            <w:r>
              <w:rPr>
                <w:rFonts w:hint="eastAsia" w:ascii="仿宋_GB2312" w:hAnsi="仿宋_GB2312" w:eastAsia="仿宋_GB2312" w:cs="仿宋_GB2312"/>
                <w:color w:val="auto"/>
                <w:sz w:val="21"/>
                <w:szCs w:val="21"/>
                <w:highlight w:val="none"/>
                <w:lang w:eastAsia="zh-CN"/>
              </w:rPr>
              <w:t>分。未提供得</w:t>
            </w:r>
            <w:r>
              <w:rPr>
                <w:rFonts w:hint="eastAsia" w:ascii="仿宋_GB2312" w:hAnsi="仿宋_GB2312" w:eastAsia="仿宋_GB2312" w:cs="仿宋_GB2312"/>
                <w:color w:val="auto"/>
                <w:sz w:val="21"/>
                <w:szCs w:val="21"/>
                <w:highlight w:val="none"/>
                <w:lang w:val="en-US" w:eastAsia="zh-CN"/>
              </w:rPr>
              <w:t>0分</w:t>
            </w:r>
          </w:p>
        </w:tc>
        <w:tc>
          <w:tcPr>
            <w:tcW w:w="396" w:type="pct"/>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eastAsia" w:ascii="仿宋_GB2312" w:hAnsi="仿宋_GB2312" w:eastAsia="仿宋_GB2312" w:cs="仿宋_GB2312"/>
                <w:color w:val="auto"/>
                <w:sz w:val="21"/>
                <w:szCs w:val="21"/>
                <w:highlight w:val="none"/>
                <w:lang w:eastAsia="zh-CN"/>
              </w:rPr>
            </w:pPr>
            <w:r>
              <w:rPr>
                <w:rFonts w:hint="eastAsia" w:ascii="仿宋_GB2312" w:hAnsi="仿宋_GB2312" w:eastAsia="仿宋_GB2312" w:cs="仿宋_GB2312"/>
                <w:color w:val="auto"/>
                <w:sz w:val="21"/>
                <w:szCs w:val="21"/>
                <w:highlight w:val="none"/>
                <w:lang w:val="en-US" w:eastAsia="zh-CN"/>
              </w:rPr>
              <w:t xml:space="preserve"> 8</w:t>
            </w:r>
            <w:r>
              <w:rPr>
                <w:rFonts w:hint="eastAsia" w:ascii="仿宋_GB2312" w:hAnsi="仿宋_GB2312" w:eastAsia="仿宋_GB2312" w:cs="仿宋_GB2312"/>
                <w:color w:val="auto"/>
                <w:sz w:val="21"/>
                <w:szCs w:val="21"/>
                <w:highlight w:val="none"/>
              </w:rPr>
              <w:t>分</w:t>
            </w:r>
          </w:p>
        </w:tc>
      </w:tr>
    </w:tbl>
    <w:p>
      <w:pPr>
        <w:pStyle w:val="3"/>
        <w:spacing w:before="0" w:after="0" w:line="460" w:lineRule="exact"/>
        <w:ind w:firstLine="560" w:firstLineChars="200"/>
        <w:rPr>
          <w:rFonts w:hint="eastAsia" w:ascii="黑体" w:hAnsi="黑体" w:eastAsia="黑体" w:cs="黑体"/>
          <w:b w:val="0"/>
          <w:bCs w:val="0"/>
          <w:color w:val="auto"/>
          <w:sz w:val="28"/>
          <w:highlight w:val="none"/>
          <w:lang w:eastAsia="zh-CN"/>
        </w:rPr>
      </w:pPr>
    </w:p>
    <w:p>
      <w:pPr>
        <w:rPr>
          <w:rFonts w:hint="eastAsia" w:ascii="黑体" w:hAnsi="黑体" w:eastAsia="黑体" w:cs="黑体"/>
          <w:color w:val="auto"/>
          <w:sz w:val="28"/>
          <w:szCs w:val="28"/>
          <w:highlight w:val="none"/>
          <w:lang w:eastAsia="zh-CN"/>
        </w:rPr>
      </w:pPr>
      <w:r>
        <w:rPr>
          <w:rFonts w:hint="eastAsia" w:ascii="黑体" w:hAnsi="黑体" w:eastAsia="黑体" w:cs="黑体"/>
          <w:color w:val="auto"/>
          <w:sz w:val="28"/>
          <w:szCs w:val="28"/>
          <w:highlight w:val="none"/>
          <w:lang w:eastAsia="zh-CN"/>
        </w:rPr>
        <w:br w:type="page"/>
      </w:r>
    </w:p>
    <w:p>
      <w:pPr>
        <w:pStyle w:val="3"/>
        <w:spacing w:before="0" w:after="0" w:line="460" w:lineRule="exact"/>
        <w:ind w:firstLine="560" w:firstLineChars="200"/>
        <w:rPr>
          <w:rFonts w:hint="eastAsia" w:ascii="黑体" w:hAnsi="黑体" w:eastAsia="黑体" w:cs="黑体"/>
          <w:b w:val="0"/>
          <w:bCs w:val="0"/>
          <w:color w:val="auto"/>
          <w:sz w:val="28"/>
          <w:highlight w:val="none"/>
          <w:lang w:eastAsia="zh-CN"/>
        </w:rPr>
      </w:pPr>
      <w:r>
        <w:rPr>
          <w:rFonts w:hint="eastAsia" w:ascii="黑体" w:hAnsi="黑体" w:eastAsia="黑体" w:cs="黑体"/>
          <w:b w:val="0"/>
          <w:bCs w:val="0"/>
          <w:color w:val="auto"/>
          <w:sz w:val="28"/>
          <w:highlight w:val="none"/>
          <w:lang w:eastAsia="zh-CN"/>
        </w:rPr>
        <w:t>五、合同主要服务条款</w:t>
      </w:r>
    </w:p>
    <w:p>
      <w:pPr>
        <w:shd w:val="clear" w:color="auto" w:fill="FFFFFF"/>
        <w:spacing w:before="100" w:beforeAutospacing="1" w:after="100" w:afterAutospacing="1"/>
        <w:jc w:val="center"/>
        <w:rPr>
          <w:rFonts w:hint="eastAsia" w:ascii="仿宋" w:hAnsi="仿宋" w:eastAsia="仿宋" w:cs="仿宋"/>
          <w:b/>
          <w:bCs/>
          <w:color w:val="auto"/>
          <w:kern w:val="36"/>
          <w:highlight w:val="none"/>
          <w:lang w:eastAsia="zh-CN"/>
        </w:rPr>
      </w:pPr>
      <w:r>
        <w:rPr>
          <w:rFonts w:hint="eastAsia" w:ascii="宋体" w:hAnsi="宋体"/>
          <w:b/>
          <w:bCs/>
          <w:color w:val="auto"/>
          <w:szCs w:val="21"/>
          <w:highlight w:val="none"/>
          <w:lang w:eastAsia="zh-CN"/>
        </w:rPr>
        <w:t>智能净气型存储柜采购合同</w:t>
      </w:r>
    </w:p>
    <w:p>
      <w:pPr>
        <w:shd w:val="clear" w:color="auto" w:fill="FFFFFF"/>
        <w:ind w:firstLine="482"/>
        <w:rPr>
          <w:rFonts w:hint="eastAsia" w:ascii="宋体" w:hAnsi="宋体"/>
          <w:b/>
          <w:color w:val="auto"/>
          <w:szCs w:val="21"/>
          <w:highlight w:val="none"/>
          <w:lang w:eastAsia="zh-CN"/>
        </w:rPr>
      </w:pPr>
      <w:r>
        <w:rPr>
          <w:rFonts w:hint="eastAsia" w:ascii="宋体" w:hAnsi="宋体"/>
          <w:b/>
          <w:color w:val="auto"/>
          <w:szCs w:val="21"/>
          <w:highlight w:val="none"/>
          <w:lang w:eastAsia="zh-CN"/>
        </w:rPr>
        <w:t>甲方（买方）：上市松江区环境监测站</w:t>
      </w:r>
    </w:p>
    <w:p>
      <w:pPr>
        <w:shd w:val="clear" w:color="auto" w:fill="FFFFFF"/>
        <w:ind w:firstLine="482"/>
        <w:rPr>
          <w:color w:val="auto"/>
          <w:highlight w:val="none"/>
          <w:lang w:eastAsia="zh-CN"/>
        </w:rPr>
      </w:pPr>
      <w:r>
        <w:rPr>
          <w:rFonts w:hint="eastAsia" w:ascii="宋体" w:hAnsi="宋体"/>
          <w:b/>
          <w:color w:val="auto"/>
          <w:szCs w:val="21"/>
          <w:highlight w:val="none"/>
          <w:lang w:eastAsia="zh-CN"/>
        </w:rPr>
        <w:t>地址：上海市松江区中辰路288号</w:t>
      </w:r>
    </w:p>
    <w:p>
      <w:pPr>
        <w:shd w:val="clear" w:color="auto" w:fill="FFFFFF"/>
        <w:ind w:firstLine="482"/>
        <w:rPr>
          <w:rFonts w:hint="eastAsia" w:ascii="宋体" w:hAnsi="宋体"/>
          <w:b/>
          <w:color w:val="auto"/>
          <w:szCs w:val="21"/>
          <w:highlight w:val="none"/>
          <w:lang w:eastAsia="zh-CN"/>
        </w:rPr>
      </w:pPr>
      <w:r>
        <w:rPr>
          <w:rFonts w:hint="eastAsia" w:ascii="宋体" w:hAnsi="宋体"/>
          <w:b/>
          <w:color w:val="auto"/>
          <w:szCs w:val="21"/>
          <w:highlight w:val="none"/>
          <w:lang w:eastAsia="zh-CN"/>
        </w:rPr>
        <w:t>电话：</w:t>
      </w:r>
    </w:p>
    <w:p>
      <w:pPr>
        <w:shd w:val="clear" w:color="auto" w:fill="FFFFFF"/>
        <w:ind w:firstLine="482"/>
        <w:rPr>
          <w:rFonts w:hint="eastAsia" w:ascii="宋体" w:hAnsi="宋体"/>
          <w:b/>
          <w:color w:val="auto"/>
          <w:szCs w:val="21"/>
          <w:highlight w:val="none"/>
          <w:lang w:eastAsia="zh-CN"/>
        </w:rPr>
      </w:pPr>
      <w:r>
        <w:rPr>
          <w:rFonts w:hint="eastAsia" w:ascii="宋体" w:hAnsi="宋体"/>
          <w:b/>
          <w:color w:val="auto"/>
          <w:szCs w:val="21"/>
          <w:highlight w:val="none"/>
          <w:lang w:eastAsia="zh-CN"/>
        </w:rPr>
        <w:t>联系人：</w:t>
      </w:r>
    </w:p>
    <w:p>
      <w:pPr>
        <w:shd w:val="clear" w:color="auto" w:fill="FFFFFF"/>
        <w:ind w:firstLine="482"/>
        <w:rPr>
          <w:rFonts w:hint="eastAsia" w:ascii="宋体" w:hAnsi="宋体" w:cs="Calibri"/>
          <w:color w:val="auto"/>
          <w:szCs w:val="21"/>
          <w:highlight w:val="none"/>
          <w:lang w:eastAsia="zh-CN"/>
        </w:rPr>
      </w:pPr>
    </w:p>
    <w:p>
      <w:pPr>
        <w:shd w:val="clear" w:color="auto" w:fill="FFFFFF"/>
        <w:ind w:firstLine="482"/>
        <w:rPr>
          <w:rFonts w:hint="eastAsia" w:ascii="宋体" w:hAnsi="宋体"/>
          <w:b/>
          <w:color w:val="auto"/>
          <w:szCs w:val="21"/>
          <w:highlight w:val="none"/>
          <w:lang w:eastAsia="zh-CN"/>
        </w:rPr>
      </w:pPr>
      <w:r>
        <w:rPr>
          <w:rFonts w:hint="eastAsia" w:ascii="宋体" w:hAnsi="宋体"/>
          <w:b/>
          <w:color w:val="auto"/>
          <w:szCs w:val="21"/>
          <w:highlight w:val="none"/>
          <w:lang w:eastAsia="zh-CN"/>
        </w:rPr>
        <w:t>乙方（卖方）：</w:t>
      </w:r>
    </w:p>
    <w:p>
      <w:pPr>
        <w:shd w:val="clear" w:color="auto" w:fill="FFFFFF"/>
        <w:ind w:firstLine="482"/>
        <w:rPr>
          <w:rFonts w:hint="eastAsia" w:ascii="宋体" w:hAnsi="宋体"/>
          <w:b/>
          <w:color w:val="auto"/>
          <w:szCs w:val="21"/>
          <w:highlight w:val="none"/>
          <w:lang w:eastAsia="zh-CN"/>
        </w:rPr>
      </w:pPr>
      <w:r>
        <w:rPr>
          <w:rFonts w:hint="eastAsia" w:ascii="宋体" w:hAnsi="宋体"/>
          <w:b/>
          <w:color w:val="auto"/>
          <w:szCs w:val="21"/>
          <w:highlight w:val="none"/>
          <w:lang w:eastAsia="zh-CN"/>
        </w:rPr>
        <w:t>地址：</w:t>
      </w:r>
    </w:p>
    <w:p>
      <w:pPr>
        <w:shd w:val="clear" w:color="auto" w:fill="FFFFFF"/>
        <w:ind w:firstLine="482"/>
        <w:rPr>
          <w:rFonts w:hint="eastAsia" w:ascii="宋体" w:hAnsi="宋体"/>
          <w:b/>
          <w:color w:val="auto"/>
          <w:szCs w:val="21"/>
          <w:highlight w:val="none"/>
          <w:lang w:eastAsia="zh-CN"/>
        </w:rPr>
      </w:pPr>
      <w:r>
        <w:rPr>
          <w:rFonts w:hint="eastAsia" w:ascii="宋体" w:hAnsi="宋体"/>
          <w:b/>
          <w:color w:val="auto"/>
          <w:szCs w:val="21"/>
          <w:highlight w:val="none"/>
          <w:lang w:eastAsia="zh-CN"/>
        </w:rPr>
        <w:t>电话：</w:t>
      </w:r>
    </w:p>
    <w:p>
      <w:pPr>
        <w:shd w:val="clear" w:color="auto" w:fill="FFFFFF"/>
        <w:ind w:firstLine="482"/>
        <w:rPr>
          <w:rFonts w:hint="eastAsia" w:ascii="宋体" w:hAnsi="宋体"/>
          <w:b/>
          <w:color w:val="auto"/>
          <w:szCs w:val="21"/>
          <w:highlight w:val="none"/>
          <w:lang w:eastAsia="zh-CN"/>
        </w:rPr>
      </w:pPr>
      <w:r>
        <w:rPr>
          <w:rFonts w:hint="eastAsia" w:ascii="宋体" w:hAnsi="宋体"/>
          <w:b/>
          <w:color w:val="auto"/>
          <w:szCs w:val="21"/>
          <w:highlight w:val="none"/>
          <w:lang w:eastAsia="zh-CN"/>
        </w:rPr>
        <w:t>联系人：</w:t>
      </w:r>
    </w:p>
    <w:p>
      <w:pPr>
        <w:pStyle w:val="27"/>
        <w:tabs>
          <w:tab w:val="center" w:pos="4153"/>
          <w:tab w:val="right" w:pos="8306"/>
          <w:tab w:val="clear" w:pos="4680"/>
          <w:tab w:val="clear" w:pos="9360"/>
        </w:tabs>
        <w:rPr>
          <w:color w:val="auto"/>
          <w:highlight w:val="none"/>
          <w:lang w:eastAsia="zh-CN"/>
        </w:rPr>
      </w:pPr>
    </w:p>
    <w:p>
      <w:pPr>
        <w:spacing w:line="360" w:lineRule="exact"/>
        <w:ind w:firstLine="480"/>
        <w:jc w:val="left"/>
        <w:rPr>
          <w:rFonts w:hint="eastAsia" w:ascii="仿宋" w:hAnsi="仿宋" w:eastAsia="仿宋" w:cs="仿宋"/>
          <w:color w:val="auto"/>
          <w:highlight w:val="none"/>
          <w:lang w:eastAsia="zh-CN"/>
        </w:rPr>
      </w:pPr>
      <w:r>
        <w:rPr>
          <w:rFonts w:hint="eastAsia" w:ascii="仿宋" w:hAnsi="仿宋" w:eastAsia="仿宋" w:cs="仿宋"/>
          <w:color w:val="auto"/>
          <w:highlight w:val="none"/>
          <w:lang w:eastAsia="zh-CN"/>
        </w:rPr>
        <w:t>根据《中华人民共和国政府采购法》、《中华人民共和国合同法》之规定，本合同当事人在平等、自愿的基础上，经协商一致，同意按下述条款和条件签署本合同：</w:t>
      </w:r>
      <w:r>
        <w:rPr>
          <w:rFonts w:hint="eastAsia" w:ascii="仿宋" w:hAnsi="仿宋" w:eastAsia="仿宋" w:cs="仿宋"/>
          <w:color w:val="auto"/>
          <w:highlight w:val="none"/>
          <w:lang w:eastAsia="zh-CN"/>
        </w:rPr>
        <w:br w:type="textWrapping"/>
      </w:r>
      <w:r>
        <w:rPr>
          <w:rFonts w:hint="eastAsia" w:ascii="仿宋" w:hAnsi="仿宋" w:eastAsia="仿宋" w:cs="仿宋"/>
          <w:color w:val="auto"/>
          <w:highlight w:val="none"/>
          <w:lang w:eastAsia="zh-CN"/>
        </w:rPr>
        <w:t xml:space="preserve"> </w:t>
      </w:r>
      <w:r>
        <w:rPr>
          <w:rFonts w:hint="eastAsia" w:ascii="仿宋" w:hAnsi="仿宋" w:eastAsia="仿宋" w:cs="仿宋"/>
          <w:b/>
          <w:bCs/>
          <w:color w:val="auto"/>
          <w:highlight w:val="none"/>
          <w:lang w:eastAsia="zh-CN"/>
        </w:rPr>
        <w:t>1.乙方根据本合同的规定向甲方提供以下设备：</w:t>
      </w:r>
      <w:r>
        <w:rPr>
          <w:rFonts w:hint="eastAsia" w:ascii="仿宋" w:hAnsi="仿宋" w:eastAsia="仿宋" w:cs="仿宋"/>
          <w:color w:val="auto"/>
          <w:highlight w:val="none"/>
          <w:lang w:eastAsia="zh-CN"/>
        </w:rPr>
        <w:br w:type="textWrapping"/>
      </w:r>
      <w:r>
        <w:rPr>
          <w:rFonts w:hint="eastAsia" w:ascii="仿宋" w:hAnsi="仿宋" w:eastAsia="仿宋" w:cs="仿宋"/>
          <w:color w:val="auto"/>
          <w:highlight w:val="none"/>
          <w:lang w:eastAsia="zh-CN"/>
        </w:rPr>
        <w:t xml:space="preserve"> 1.1乙方所提供的</w:t>
      </w:r>
      <w:r>
        <w:rPr>
          <w:rFonts w:hint="eastAsia" w:ascii="仿宋" w:hAnsi="仿宋" w:eastAsia="仿宋" w:cs="仿宋"/>
          <w:color w:val="auto"/>
          <w:highlight w:val="none"/>
          <w:u w:val="single"/>
          <w:lang w:eastAsia="zh-CN"/>
        </w:rPr>
        <w:t xml:space="preserve"> 智能净气型存储柜  </w:t>
      </w:r>
      <w:r>
        <w:rPr>
          <w:rFonts w:hint="eastAsia" w:ascii="仿宋" w:hAnsi="仿宋" w:eastAsia="仿宋" w:cs="仿宋"/>
          <w:color w:val="auto"/>
          <w:highlight w:val="none"/>
          <w:lang w:eastAsia="zh-CN"/>
        </w:rPr>
        <w:t>其来源应符合国家的有关规定，服务的内容、要求、服务质量等详见招标文件和投标文件。</w:t>
      </w:r>
    </w:p>
    <w:p>
      <w:pPr>
        <w:spacing w:line="360" w:lineRule="exact"/>
        <w:jc w:val="left"/>
        <w:rPr>
          <w:rFonts w:hint="eastAsia" w:ascii="仿宋" w:hAnsi="仿宋" w:eastAsia="仿宋" w:cs="仿宋"/>
          <w:color w:val="auto"/>
          <w:highlight w:val="none"/>
          <w:u w:val="single"/>
          <w:lang w:eastAsia="zh-CN"/>
        </w:rPr>
      </w:pPr>
      <w:r>
        <w:rPr>
          <w:rFonts w:hint="eastAsia" w:ascii="仿宋" w:hAnsi="仿宋" w:eastAsia="仿宋" w:cs="仿宋"/>
          <w:b/>
          <w:bCs/>
          <w:color w:val="auto"/>
          <w:highlight w:val="none"/>
          <w:lang w:eastAsia="zh-CN"/>
        </w:rPr>
        <w:t>2. 合同价格、服务地点和服务期限</w:t>
      </w:r>
      <w:r>
        <w:rPr>
          <w:rFonts w:hint="eastAsia" w:ascii="仿宋" w:hAnsi="仿宋" w:eastAsia="仿宋" w:cs="仿宋"/>
          <w:color w:val="auto"/>
          <w:highlight w:val="none"/>
          <w:lang w:eastAsia="zh-CN"/>
        </w:rPr>
        <w:br w:type="textWrapping"/>
      </w:r>
      <w:r>
        <w:rPr>
          <w:rFonts w:hint="eastAsia" w:ascii="仿宋" w:hAnsi="仿宋" w:eastAsia="仿宋" w:cs="仿宋"/>
          <w:color w:val="auto"/>
          <w:highlight w:val="none"/>
          <w:lang w:eastAsia="zh-CN"/>
        </w:rPr>
        <w:t>2.1合同价格</w:t>
      </w:r>
      <w:r>
        <w:rPr>
          <w:rFonts w:hint="eastAsia" w:ascii="仿宋" w:hAnsi="仿宋" w:eastAsia="仿宋" w:cs="仿宋"/>
          <w:color w:val="auto"/>
          <w:highlight w:val="none"/>
          <w:lang w:eastAsia="zh-CN"/>
        </w:rPr>
        <w:br w:type="textWrapping"/>
      </w:r>
      <w:r>
        <w:rPr>
          <w:rFonts w:hint="eastAsia" w:ascii="仿宋" w:hAnsi="仿宋" w:eastAsia="仿宋" w:cs="仿宋"/>
          <w:color w:val="auto"/>
          <w:highlight w:val="none"/>
          <w:lang w:eastAsia="zh-CN"/>
        </w:rPr>
        <w:t xml:space="preserve">    本合同价格为</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元整。</w:t>
      </w:r>
      <w:r>
        <w:rPr>
          <w:rFonts w:hint="eastAsia" w:ascii="仿宋" w:hAnsi="仿宋" w:eastAsia="仿宋" w:cs="仿宋"/>
          <w:color w:val="auto"/>
          <w:highlight w:val="none"/>
          <w:lang w:eastAsia="zh-CN"/>
        </w:rPr>
        <w:br w:type="textWrapping"/>
      </w:r>
      <w:r>
        <w:rPr>
          <w:rFonts w:hint="eastAsia" w:ascii="仿宋" w:hAnsi="仿宋" w:eastAsia="仿宋" w:cs="仿宋"/>
          <w:color w:val="auto"/>
          <w:highlight w:val="none"/>
          <w:lang w:eastAsia="zh-CN"/>
        </w:rPr>
        <w:t xml:space="preserve">    乙方为履行本合同而发生的所有费用均应包含在合同价中，甲方不再另行支付其它任何费用。</w:t>
      </w:r>
      <w:r>
        <w:rPr>
          <w:rFonts w:hint="eastAsia" w:ascii="仿宋" w:hAnsi="仿宋" w:eastAsia="仿宋" w:cs="仿宋"/>
          <w:color w:val="auto"/>
          <w:highlight w:val="none"/>
          <w:u w:val="single"/>
          <w:lang w:eastAsia="zh-CN"/>
        </w:rPr>
        <w:t xml:space="preserve">           </w:t>
      </w:r>
    </w:p>
    <w:p>
      <w:pPr>
        <w:spacing w:line="360" w:lineRule="exact"/>
        <w:jc w:val="left"/>
        <w:rPr>
          <w:rFonts w:hint="eastAsia" w:ascii="仿宋" w:hAnsi="仿宋" w:eastAsia="仿宋" w:cs="仿宋"/>
          <w:color w:val="auto"/>
          <w:highlight w:val="none"/>
          <w:lang w:eastAsia="zh-CN"/>
        </w:rPr>
      </w:pPr>
      <w:r>
        <w:rPr>
          <w:rFonts w:hint="eastAsia" w:ascii="仿宋" w:hAnsi="仿宋" w:eastAsia="仿宋" w:cs="仿宋"/>
          <w:b/>
          <w:bCs/>
          <w:color w:val="auto"/>
          <w:highlight w:val="none"/>
          <w:lang w:eastAsia="zh-CN"/>
        </w:rPr>
        <w:t>3．质量标准和要求</w:t>
      </w:r>
      <w:r>
        <w:rPr>
          <w:rFonts w:hint="eastAsia" w:ascii="仿宋" w:hAnsi="仿宋" w:eastAsia="仿宋" w:cs="仿宋"/>
          <w:color w:val="auto"/>
          <w:highlight w:val="none"/>
          <w:lang w:eastAsia="zh-CN"/>
        </w:rPr>
        <w:br w:type="textWrapping"/>
      </w:r>
      <w:r>
        <w:rPr>
          <w:rFonts w:hint="eastAsia" w:ascii="仿宋" w:hAnsi="仿宋" w:eastAsia="仿宋" w:cs="仿宋"/>
          <w:color w:val="auto"/>
          <w:highlight w:val="none"/>
          <w:lang w:eastAsia="zh-CN"/>
        </w:rPr>
        <w:t>3.1乙方所提供的设备质量标准按照国家标准、行业标准或制造厂家企业标准确定，上述标准不一致的，以严格的标准为准。没有国家标准、行业标准和企业标准的，按照通常标准或者符合合同目的的特定标准确定。</w:t>
      </w:r>
    </w:p>
    <w:p>
      <w:pPr>
        <w:spacing w:line="360" w:lineRule="exact"/>
        <w:jc w:val="left"/>
        <w:rPr>
          <w:rFonts w:hint="eastAsia" w:ascii="仿宋" w:hAnsi="仿宋" w:eastAsia="仿宋" w:cs="仿宋"/>
          <w:color w:val="auto"/>
          <w:highlight w:val="none"/>
          <w:lang w:eastAsia="zh-CN"/>
        </w:rPr>
      </w:pPr>
      <w:r>
        <w:rPr>
          <w:rFonts w:hint="eastAsia" w:ascii="仿宋" w:hAnsi="仿宋" w:eastAsia="仿宋" w:cs="仿宋"/>
          <w:color w:val="auto"/>
          <w:highlight w:val="none"/>
          <w:lang w:eastAsia="zh-CN"/>
        </w:rPr>
        <w:t>3.2设备质保期一年，验收通过之日起算。</w:t>
      </w:r>
    </w:p>
    <w:p>
      <w:pPr>
        <w:spacing w:line="360" w:lineRule="exact"/>
        <w:jc w:val="left"/>
        <w:rPr>
          <w:rFonts w:hint="eastAsia" w:ascii="仿宋" w:hAnsi="仿宋" w:eastAsia="仿宋" w:cs="仿宋"/>
          <w:color w:val="auto"/>
          <w:highlight w:val="none"/>
          <w:lang w:eastAsia="zh-CN"/>
        </w:rPr>
      </w:pPr>
      <w:r>
        <w:rPr>
          <w:rFonts w:hint="eastAsia" w:ascii="仿宋" w:hAnsi="仿宋" w:eastAsia="仿宋" w:cs="仿宋"/>
          <w:color w:val="auto"/>
          <w:highlight w:val="none"/>
          <w:lang w:eastAsia="zh-CN"/>
        </w:rPr>
        <w:t>4</w:t>
      </w:r>
      <w:r>
        <w:rPr>
          <w:rFonts w:hint="eastAsia" w:ascii="仿宋" w:hAnsi="仿宋" w:eastAsia="仿宋" w:cs="仿宋"/>
          <w:b/>
          <w:bCs/>
          <w:color w:val="auto"/>
          <w:highlight w:val="none"/>
          <w:lang w:eastAsia="zh-CN"/>
        </w:rPr>
        <w:t>．验收</w:t>
      </w:r>
      <w:r>
        <w:rPr>
          <w:rFonts w:hint="eastAsia" w:ascii="仿宋" w:hAnsi="仿宋" w:eastAsia="仿宋" w:cs="仿宋"/>
          <w:color w:val="auto"/>
          <w:highlight w:val="none"/>
          <w:lang w:eastAsia="zh-CN"/>
        </w:rPr>
        <w:br w:type="textWrapping"/>
      </w:r>
      <w:r>
        <w:rPr>
          <w:rFonts w:hint="eastAsia" w:ascii="仿宋" w:hAnsi="仿宋" w:eastAsia="仿宋" w:cs="仿宋"/>
          <w:color w:val="auto"/>
          <w:highlight w:val="none"/>
          <w:lang w:eastAsia="zh-CN"/>
        </w:rPr>
        <w:t>4.1服务根据合同的规定完成后，甲方应及时进行根据合同的规定进行验收。</w:t>
      </w:r>
      <w:r>
        <w:rPr>
          <w:rFonts w:hint="eastAsia" w:ascii="仿宋" w:hAnsi="仿宋" w:eastAsia="仿宋" w:cs="仿宋"/>
          <w:color w:val="auto"/>
          <w:highlight w:val="none"/>
          <w:lang w:eastAsia="zh-CN"/>
        </w:rPr>
        <w:br w:type="textWrapping"/>
      </w:r>
      <w:r>
        <w:rPr>
          <w:rFonts w:hint="eastAsia" w:ascii="仿宋" w:hAnsi="仿宋" w:eastAsia="仿宋" w:cs="仿宋"/>
          <w:color w:val="auto"/>
          <w:highlight w:val="none"/>
          <w:lang w:eastAsia="zh-CN"/>
        </w:rPr>
        <w:t>4.2如果属于乙方原因致使货物未能通过验收，乙方应当排除故障，并自行承担相关费用，同时进行试运行，直至货物完全符合验收标准。</w:t>
      </w:r>
      <w:r>
        <w:rPr>
          <w:rFonts w:hint="eastAsia" w:ascii="仿宋" w:hAnsi="仿宋" w:eastAsia="仿宋" w:cs="仿宋"/>
          <w:color w:val="auto"/>
          <w:highlight w:val="none"/>
          <w:lang w:eastAsia="zh-CN"/>
        </w:rPr>
        <w:br w:type="textWrapping"/>
      </w:r>
      <w:r>
        <w:rPr>
          <w:rFonts w:hint="eastAsia" w:ascii="仿宋" w:hAnsi="仿宋" w:eastAsia="仿宋" w:cs="仿宋"/>
          <w:color w:val="auto"/>
          <w:highlight w:val="none"/>
          <w:lang w:eastAsia="zh-CN"/>
        </w:rPr>
        <w:t>4.3如果属于甲方原因致使货物未能通过验收，甲方应在合理时间内排除故障，再次进行验收。如果属于故障之外的原因，除本合同规定的不可抗力外，甲方不愿或未能在规定的时间内完成验收，则由乙方单方面进行验收，并将验收报告提交甲方，即视为验收通过。</w:t>
      </w:r>
      <w:r>
        <w:rPr>
          <w:rFonts w:hint="eastAsia" w:ascii="仿宋" w:hAnsi="仿宋" w:eastAsia="仿宋" w:cs="仿宋"/>
          <w:color w:val="auto"/>
          <w:highlight w:val="none"/>
          <w:lang w:eastAsia="zh-CN"/>
        </w:rPr>
        <w:br w:type="textWrapping"/>
      </w:r>
      <w:r>
        <w:rPr>
          <w:rFonts w:hint="eastAsia" w:ascii="仿宋" w:hAnsi="仿宋" w:eastAsia="仿宋" w:cs="仿宋"/>
          <w:color w:val="auto"/>
          <w:highlight w:val="none"/>
          <w:lang w:eastAsia="zh-CN"/>
        </w:rPr>
        <w:t>4.4甲方根据合同的规定对货物验收合格后，甲方收取发票并签署验收意见。</w:t>
      </w:r>
    </w:p>
    <w:p>
      <w:pPr>
        <w:spacing w:line="360" w:lineRule="exact"/>
        <w:jc w:val="left"/>
        <w:rPr>
          <w:rFonts w:hint="eastAsia" w:ascii="仿宋" w:hAnsi="仿宋" w:eastAsia="仿宋" w:cs="仿宋"/>
          <w:color w:val="auto"/>
          <w:highlight w:val="none"/>
          <w:u w:val="single"/>
          <w:lang w:eastAsia="zh-CN"/>
        </w:rPr>
      </w:pPr>
      <w:r>
        <w:rPr>
          <w:rFonts w:hint="eastAsia" w:ascii="仿宋" w:hAnsi="仿宋" w:eastAsia="仿宋" w:cs="仿宋"/>
          <w:b/>
          <w:bCs/>
          <w:color w:val="auto"/>
          <w:highlight w:val="none"/>
          <w:lang w:eastAsia="zh-CN"/>
        </w:rPr>
        <w:t>5．付款</w:t>
      </w:r>
      <w:r>
        <w:rPr>
          <w:rFonts w:hint="eastAsia" w:ascii="仿宋" w:hAnsi="仿宋" w:eastAsia="仿宋" w:cs="仿宋"/>
          <w:color w:val="auto"/>
          <w:highlight w:val="none"/>
          <w:lang w:eastAsia="zh-CN"/>
        </w:rPr>
        <w:br w:type="textWrapping"/>
      </w:r>
      <w:r>
        <w:rPr>
          <w:rFonts w:hint="eastAsia" w:ascii="仿宋" w:hAnsi="仿宋" w:eastAsia="仿宋" w:cs="仿宋"/>
          <w:color w:val="auto"/>
          <w:highlight w:val="none"/>
          <w:lang w:eastAsia="zh-CN"/>
        </w:rPr>
        <w:t>5.1本合同以人民币付款（单位：</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元）。</w:t>
      </w:r>
      <w:r>
        <w:rPr>
          <w:rFonts w:hint="eastAsia" w:ascii="仿宋" w:hAnsi="仿宋" w:eastAsia="仿宋" w:cs="仿宋"/>
          <w:color w:val="auto"/>
          <w:highlight w:val="none"/>
          <w:lang w:eastAsia="zh-CN"/>
        </w:rPr>
        <w:br w:type="textWrapping"/>
      </w:r>
      <w:r>
        <w:rPr>
          <w:rFonts w:hint="eastAsia" w:ascii="仿宋" w:hAnsi="仿宋" w:eastAsia="仿宋" w:cs="仿宋"/>
          <w:color w:val="auto"/>
          <w:highlight w:val="none"/>
          <w:lang w:eastAsia="zh-CN"/>
        </w:rPr>
        <w:t>5.2本合同款项按照以下方式支付。</w:t>
      </w:r>
      <w:r>
        <w:rPr>
          <w:rFonts w:hint="eastAsia" w:ascii="仿宋" w:hAnsi="仿宋" w:eastAsia="仿宋" w:cs="仿宋"/>
          <w:color w:val="auto"/>
          <w:highlight w:val="none"/>
          <w:lang w:eastAsia="zh-CN"/>
        </w:rPr>
        <w:br w:type="textWrapping"/>
      </w:r>
      <w:r>
        <w:rPr>
          <w:rFonts w:hint="eastAsia" w:ascii="仿宋" w:hAnsi="仿宋" w:eastAsia="仿宋" w:cs="仿宋"/>
          <w:color w:val="auto"/>
          <w:highlight w:val="none"/>
          <w:lang w:eastAsia="zh-CN"/>
        </w:rPr>
        <w:t xml:space="preserve">5.2.1付款内容： </w:t>
      </w:r>
      <w:r>
        <w:rPr>
          <w:rFonts w:hint="eastAsia" w:ascii="仿宋" w:hAnsi="仿宋" w:eastAsia="仿宋" w:cs="仿宋"/>
          <w:color w:val="auto"/>
          <w:highlight w:val="none"/>
          <w:u w:val="single"/>
          <w:lang w:eastAsia="zh-CN"/>
        </w:rPr>
        <w:t>货到通过验收后一次性付清全款</w:t>
      </w:r>
    </w:p>
    <w:p>
      <w:pPr>
        <w:spacing w:line="360" w:lineRule="exact"/>
        <w:jc w:val="left"/>
        <w:rPr>
          <w:rFonts w:hint="eastAsia" w:ascii="仿宋" w:hAnsi="仿宋" w:eastAsia="仿宋" w:cs="仿宋"/>
          <w:b/>
          <w:bCs/>
          <w:color w:val="auto"/>
          <w:highlight w:val="none"/>
          <w:lang w:eastAsia="zh-CN"/>
        </w:rPr>
      </w:pPr>
      <w:r>
        <w:rPr>
          <w:rFonts w:hint="eastAsia" w:ascii="仿宋" w:hAnsi="仿宋" w:eastAsia="仿宋" w:cs="仿宋"/>
          <w:b/>
          <w:bCs/>
          <w:color w:val="auto"/>
          <w:highlight w:val="none"/>
          <w:lang w:eastAsia="zh-CN"/>
        </w:rPr>
        <w:t>6.保密义务</w:t>
      </w:r>
    </w:p>
    <w:p>
      <w:pPr>
        <w:spacing w:line="360" w:lineRule="exact"/>
        <w:jc w:val="left"/>
        <w:rPr>
          <w:rFonts w:hint="eastAsia" w:ascii="仿宋" w:hAnsi="仿宋" w:eastAsia="仿宋" w:cs="仿宋"/>
          <w:color w:val="auto"/>
          <w:highlight w:val="none"/>
          <w:lang w:eastAsia="zh-CN"/>
        </w:rPr>
      </w:pPr>
      <w:r>
        <w:rPr>
          <w:rFonts w:hint="eastAsia" w:ascii="仿宋" w:hAnsi="仿宋" w:eastAsia="仿宋" w:cs="仿宋"/>
          <w:color w:val="auto"/>
          <w:highlight w:val="none"/>
          <w:lang w:eastAsia="zh-CN"/>
        </w:rPr>
        <w:t>乙方在向甲方提供服务过程中，对其获知的各类资料和信息，包括但不限于涉及国家秘密、商业秘密、个人隐私和其他不宜公开的技术资料、数据信息等资料和信息，承担保密义务，未经甲方书面同意，乙方不得以任何方式提供或披露给第三方。如乙方提供服务过程中涉及上述资料信息使用的，乙方应当按照甲方规定的使用用途和方式，正当、合理、审慎地使用涉及保密义务的资料和信息。</w:t>
      </w:r>
    </w:p>
    <w:p>
      <w:pPr>
        <w:spacing w:line="360" w:lineRule="exact"/>
        <w:jc w:val="left"/>
        <w:rPr>
          <w:rFonts w:hint="eastAsia" w:ascii="仿宋" w:hAnsi="仿宋" w:eastAsia="仿宋" w:cs="仿宋"/>
          <w:b/>
          <w:bCs/>
          <w:color w:val="auto"/>
          <w:highlight w:val="none"/>
          <w:lang w:eastAsia="zh-CN"/>
        </w:rPr>
      </w:pPr>
      <w:r>
        <w:rPr>
          <w:rFonts w:hint="eastAsia" w:ascii="仿宋" w:hAnsi="仿宋" w:eastAsia="仿宋" w:cs="仿宋"/>
          <w:b/>
          <w:bCs/>
          <w:color w:val="auto"/>
          <w:highlight w:val="none"/>
          <w:lang w:eastAsia="zh-CN"/>
        </w:rPr>
        <w:t>7.违约金或者损失赔偿额的计算方法</w:t>
      </w:r>
    </w:p>
    <w:p>
      <w:pPr>
        <w:adjustRightInd w:val="0"/>
        <w:snapToGrid w:val="0"/>
        <w:spacing w:line="360" w:lineRule="exact"/>
        <w:ind w:firstLine="480" w:firstLineChars="200"/>
        <w:jc w:val="left"/>
        <w:rPr>
          <w:rFonts w:hint="eastAsia" w:ascii="仿宋" w:hAnsi="仿宋" w:eastAsia="仿宋" w:cs="仿宋"/>
          <w:color w:val="auto"/>
          <w:highlight w:val="none"/>
          <w:lang w:eastAsia="zh-CN"/>
        </w:rPr>
      </w:pPr>
      <w:r>
        <w:rPr>
          <w:rFonts w:hint="eastAsia" w:ascii="仿宋" w:hAnsi="仿宋" w:eastAsia="仿宋" w:cs="仿宋"/>
          <w:color w:val="auto"/>
          <w:highlight w:val="none"/>
          <w:lang w:eastAsia="zh-CN"/>
        </w:rPr>
        <w:t>违反本合同约定，违约方应当按照《中华人民共和国民法典》合同编的有关条款规定，承担违约责任。</w:t>
      </w:r>
    </w:p>
    <w:p>
      <w:pPr>
        <w:adjustRightInd w:val="0"/>
        <w:snapToGrid w:val="0"/>
        <w:spacing w:line="360" w:lineRule="exact"/>
        <w:ind w:firstLine="480" w:firstLineChars="200"/>
        <w:jc w:val="left"/>
        <w:rPr>
          <w:rFonts w:hint="eastAsia" w:ascii="仿宋" w:hAnsi="仿宋" w:eastAsia="仿宋" w:cs="仿宋"/>
          <w:color w:val="auto"/>
          <w:highlight w:val="none"/>
          <w:lang w:eastAsia="zh-CN"/>
        </w:rPr>
      </w:pPr>
      <w:r>
        <w:rPr>
          <w:rFonts w:hint="eastAsia" w:ascii="仿宋" w:hAnsi="仿宋" w:eastAsia="仿宋" w:cs="仿宋"/>
          <w:color w:val="auto"/>
          <w:highlight w:val="none"/>
          <w:lang w:eastAsia="zh-CN"/>
        </w:rPr>
        <w:t>（一）合同生效后，甲方不得无故终止合同履行。若甲方执意终止合同，应按乙方已开展的实际工作量支付乙方费用。若该费用低于本合同总额20%，按合同报酬总额20%计。实际工作量乙方给出书面说明和相关依据。</w:t>
      </w:r>
    </w:p>
    <w:p>
      <w:pPr>
        <w:adjustRightInd w:val="0"/>
        <w:snapToGrid w:val="0"/>
        <w:spacing w:line="360" w:lineRule="exact"/>
        <w:ind w:firstLine="480" w:firstLineChars="200"/>
        <w:jc w:val="left"/>
        <w:rPr>
          <w:rFonts w:hint="eastAsia" w:ascii="仿宋" w:hAnsi="仿宋" w:eastAsia="仿宋" w:cs="仿宋"/>
          <w:color w:val="auto"/>
          <w:highlight w:val="none"/>
          <w:lang w:eastAsia="zh-CN"/>
        </w:rPr>
      </w:pPr>
      <w:r>
        <w:rPr>
          <w:rFonts w:hint="eastAsia" w:ascii="仿宋" w:hAnsi="仿宋" w:eastAsia="仿宋" w:cs="仿宋"/>
          <w:color w:val="auto"/>
          <w:highlight w:val="none"/>
          <w:lang w:eastAsia="zh-CN"/>
        </w:rPr>
        <w:t>（二）合同生效后，乙方不得无故中途解除合同；若乙方执意解除合同，应全额退还甲方支付的费用。若该费用低于本合同总额20%，按合同报酬总额20%计。</w:t>
      </w:r>
    </w:p>
    <w:p>
      <w:pPr>
        <w:adjustRightInd w:val="0"/>
        <w:snapToGrid w:val="0"/>
        <w:spacing w:line="360" w:lineRule="exact"/>
        <w:ind w:firstLine="480" w:firstLineChars="200"/>
        <w:jc w:val="left"/>
        <w:rPr>
          <w:rFonts w:hint="eastAsia" w:ascii="仿宋" w:hAnsi="仿宋" w:eastAsia="仿宋" w:cs="仿宋"/>
          <w:color w:val="auto"/>
          <w:highlight w:val="none"/>
          <w:lang w:eastAsia="zh-CN"/>
        </w:rPr>
      </w:pPr>
      <w:r>
        <w:rPr>
          <w:rFonts w:hint="eastAsia" w:ascii="仿宋" w:hAnsi="仿宋" w:eastAsia="仿宋" w:cs="仿宋"/>
          <w:color w:val="auto"/>
          <w:highlight w:val="none"/>
          <w:lang w:eastAsia="zh-CN"/>
        </w:rPr>
        <w:t>（三）其它：</w:t>
      </w:r>
    </w:p>
    <w:p>
      <w:pPr>
        <w:adjustRightInd w:val="0"/>
        <w:snapToGrid w:val="0"/>
        <w:spacing w:line="360" w:lineRule="exact"/>
        <w:ind w:firstLine="480" w:firstLineChars="200"/>
        <w:jc w:val="left"/>
        <w:rPr>
          <w:rFonts w:hint="eastAsia" w:ascii="仿宋" w:hAnsi="仿宋" w:eastAsia="仿宋" w:cs="仿宋"/>
          <w:color w:val="auto"/>
          <w:highlight w:val="none"/>
          <w:lang w:eastAsia="zh-CN"/>
        </w:rPr>
      </w:pPr>
      <w:r>
        <w:rPr>
          <w:rFonts w:hint="eastAsia" w:ascii="仿宋" w:hAnsi="仿宋" w:eastAsia="仿宋" w:cs="仿宋"/>
          <w:color w:val="auto"/>
          <w:highlight w:val="none"/>
          <w:lang w:eastAsia="zh-CN"/>
        </w:rPr>
        <w:t>1.甲、乙双方应认真履行合同，由于某一方的故意或过失使合同不能履行或造成其它后果的，由违约方承担相应责任；如在项目实施过程中，乙方违约情节严重，甲方有权终止合同，由此造成甲方的经济损失由乙方承担。如属双方过失，则根据各自过失的大小，分别承担相应的责任。</w:t>
      </w:r>
    </w:p>
    <w:p>
      <w:pPr>
        <w:adjustRightInd w:val="0"/>
        <w:snapToGrid w:val="0"/>
        <w:spacing w:line="360" w:lineRule="exact"/>
        <w:ind w:firstLine="480" w:firstLineChars="200"/>
        <w:jc w:val="left"/>
        <w:rPr>
          <w:rFonts w:hint="eastAsia" w:ascii="仿宋" w:hAnsi="仿宋" w:eastAsia="仿宋" w:cs="仿宋"/>
          <w:color w:val="auto"/>
          <w:highlight w:val="none"/>
          <w:lang w:eastAsia="zh-CN"/>
        </w:rPr>
      </w:pPr>
      <w:r>
        <w:rPr>
          <w:rFonts w:hint="eastAsia" w:ascii="仿宋" w:hAnsi="仿宋" w:eastAsia="仿宋" w:cs="仿宋"/>
          <w:color w:val="auto"/>
          <w:highlight w:val="none"/>
          <w:lang w:eastAsia="zh-CN"/>
        </w:rPr>
        <w:t>2.由于不可抗力造成合同不能履行时，遭受不可抗力影响的一方应采取积极的措施，并向另一方书面说明，就此情况下造成的合同延期履行、中止或提前终止，甲、乙双方均不承担责任。如造成任何一方损失的，则由损失方自理。</w:t>
      </w:r>
    </w:p>
    <w:p>
      <w:pPr>
        <w:adjustRightInd w:val="0"/>
        <w:snapToGrid w:val="0"/>
        <w:spacing w:line="360" w:lineRule="exact"/>
        <w:ind w:firstLine="480" w:firstLineChars="200"/>
        <w:jc w:val="left"/>
        <w:rPr>
          <w:rFonts w:hint="eastAsia" w:ascii="仿宋" w:hAnsi="仿宋" w:eastAsia="仿宋" w:cs="仿宋"/>
          <w:color w:val="auto"/>
          <w:highlight w:val="none"/>
          <w:lang w:eastAsia="zh-CN"/>
        </w:rPr>
      </w:pPr>
      <w:r>
        <w:rPr>
          <w:rFonts w:hint="eastAsia" w:ascii="仿宋" w:hAnsi="仿宋" w:eastAsia="仿宋" w:cs="仿宋"/>
          <w:color w:val="auto"/>
          <w:highlight w:val="none"/>
          <w:lang w:eastAsia="zh-CN"/>
        </w:rPr>
        <w:t>3.为贯彻落实廉政要求，维护采购结果的公正性，保证合同顺利履行，乙方在本项目中需按照《廉洁履约承诺书》相关要求严格约束自身行为，遵守廉洁承诺为本合同履行不可分割的一部分。若乙方违背上述条款，甲方有权视情节轻重，扣除相应合同款项或者单方解除合同并要求乙方对合同解除给甲方造成的损失进行赔偿。</w:t>
      </w:r>
    </w:p>
    <w:p>
      <w:pPr>
        <w:numPr>
          <w:ilvl w:val="255"/>
          <w:numId w:val="0"/>
        </w:numPr>
        <w:spacing w:before="100" w:after="100" w:line="360" w:lineRule="exact"/>
        <w:rPr>
          <w:rFonts w:hint="eastAsia" w:ascii="仿宋" w:hAnsi="仿宋" w:eastAsia="仿宋" w:cs="仿宋"/>
          <w:b/>
          <w:bCs/>
          <w:color w:val="auto"/>
          <w:highlight w:val="none"/>
          <w:lang w:eastAsia="zh-CN"/>
        </w:rPr>
      </w:pPr>
      <w:r>
        <w:rPr>
          <w:rFonts w:hint="eastAsia" w:ascii="仿宋" w:hAnsi="仿宋" w:eastAsia="仿宋" w:cs="仿宋"/>
          <w:b/>
          <w:bCs/>
          <w:color w:val="auto"/>
          <w:highlight w:val="none"/>
          <w:lang w:eastAsia="zh-CN"/>
        </w:rPr>
        <w:t>8.解决合同纠纷的方式</w:t>
      </w:r>
    </w:p>
    <w:p>
      <w:pPr>
        <w:adjustRightInd w:val="0"/>
        <w:snapToGrid w:val="0"/>
        <w:spacing w:line="360" w:lineRule="exact"/>
        <w:ind w:firstLine="480" w:firstLineChars="200"/>
        <w:jc w:val="left"/>
        <w:rPr>
          <w:rFonts w:hint="eastAsia" w:ascii="仿宋" w:hAnsi="仿宋" w:eastAsia="仿宋" w:cs="仿宋"/>
          <w:color w:val="auto"/>
          <w:highlight w:val="none"/>
          <w:lang w:eastAsia="zh-CN"/>
        </w:rPr>
      </w:pPr>
      <w:r>
        <w:rPr>
          <w:rFonts w:hint="eastAsia" w:ascii="仿宋" w:hAnsi="仿宋" w:eastAsia="仿宋" w:cs="仿宋"/>
          <w:color w:val="auto"/>
          <w:highlight w:val="none"/>
          <w:lang w:eastAsia="zh-CN"/>
        </w:rPr>
        <w:t>在履行本合同过程中发生争议，当事人双方可以协商，通过和解或者调解解决。当事人不愿协商、和解、调解或者和解、调解不成，采用以下第（二）种方式解决。</w:t>
      </w:r>
    </w:p>
    <w:p>
      <w:pPr>
        <w:adjustRightInd w:val="0"/>
        <w:snapToGrid w:val="0"/>
        <w:spacing w:line="360" w:lineRule="exact"/>
        <w:ind w:firstLine="480" w:firstLineChars="200"/>
        <w:jc w:val="left"/>
        <w:rPr>
          <w:rFonts w:hint="eastAsia" w:ascii="仿宋" w:hAnsi="仿宋" w:eastAsia="仿宋" w:cs="仿宋"/>
          <w:color w:val="auto"/>
          <w:highlight w:val="none"/>
          <w:lang w:eastAsia="zh-CN"/>
        </w:rPr>
      </w:pPr>
      <w:r>
        <w:rPr>
          <w:rFonts w:hint="eastAsia" w:ascii="仿宋" w:hAnsi="仿宋" w:eastAsia="仿宋" w:cs="仿宋"/>
          <w:color w:val="auto"/>
          <w:highlight w:val="none"/>
          <w:lang w:eastAsia="zh-CN"/>
        </w:rPr>
        <w:t>双方同意由   /   仲裁委员会仲裁。</w:t>
      </w:r>
    </w:p>
    <w:p>
      <w:pPr>
        <w:adjustRightInd w:val="0"/>
        <w:snapToGrid w:val="0"/>
        <w:spacing w:line="360" w:lineRule="exact"/>
        <w:ind w:firstLine="480" w:firstLineChars="200"/>
        <w:jc w:val="left"/>
        <w:rPr>
          <w:rFonts w:hint="eastAsia" w:ascii="仿宋" w:hAnsi="仿宋" w:eastAsia="仿宋" w:cs="仿宋"/>
          <w:color w:val="auto"/>
          <w:highlight w:val="none"/>
          <w:lang w:eastAsia="zh-CN"/>
        </w:rPr>
      </w:pPr>
      <w:r>
        <w:rPr>
          <w:rFonts w:hint="eastAsia" w:ascii="仿宋" w:hAnsi="仿宋" w:eastAsia="仿宋" w:cs="仿宋"/>
          <w:color w:val="auto"/>
          <w:highlight w:val="none"/>
          <w:lang w:eastAsia="zh-CN"/>
        </w:rPr>
        <w:t>（二）向人民法院起诉，约定  ②  人民法院管辖。</w:t>
      </w:r>
    </w:p>
    <w:p>
      <w:pPr>
        <w:adjustRightInd w:val="0"/>
        <w:snapToGrid w:val="0"/>
        <w:spacing w:line="360" w:lineRule="exact"/>
        <w:ind w:firstLine="480" w:firstLineChars="200"/>
        <w:jc w:val="left"/>
        <w:rPr>
          <w:rFonts w:hint="eastAsia" w:ascii="仿宋" w:hAnsi="仿宋" w:eastAsia="仿宋" w:cs="仿宋"/>
          <w:color w:val="auto"/>
          <w:highlight w:val="none"/>
          <w:lang w:eastAsia="zh-CN"/>
        </w:rPr>
      </w:pPr>
      <w:r>
        <w:rPr>
          <w:rFonts w:hint="eastAsia" w:ascii="仿宋" w:hAnsi="仿宋" w:eastAsia="仿宋" w:cs="仿宋"/>
          <w:color w:val="auto"/>
          <w:highlight w:val="none"/>
          <w:lang w:eastAsia="zh-CN"/>
        </w:rPr>
        <w:t>①被告住所地   ②合同履行地   ③合同签订地</w:t>
      </w:r>
    </w:p>
    <w:p>
      <w:pPr>
        <w:adjustRightInd w:val="0"/>
        <w:snapToGrid w:val="0"/>
        <w:spacing w:line="360" w:lineRule="exact"/>
        <w:ind w:firstLine="480" w:firstLineChars="200"/>
        <w:jc w:val="left"/>
        <w:rPr>
          <w:rFonts w:hint="eastAsia" w:ascii="仿宋" w:hAnsi="仿宋" w:eastAsia="仿宋" w:cs="仿宋"/>
          <w:color w:val="auto"/>
          <w:highlight w:val="none"/>
          <w:lang w:eastAsia="zh-CN"/>
        </w:rPr>
      </w:pPr>
      <w:r>
        <w:rPr>
          <w:rFonts w:hint="eastAsia" w:ascii="仿宋" w:hAnsi="仿宋" w:eastAsia="仿宋" w:cs="仿宋"/>
          <w:color w:val="auto"/>
          <w:highlight w:val="none"/>
          <w:lang w:eastAsia="zh-CN"/>
        </w:rPr>
        <w:t>④原告住所地   ⑤标的物所在地</w:t>
      </w:r>
    </w:p>
    <w:p>
      <w:pPr>
        <w:numPr>
          <w:ilvl w:val="255"/>
          <w:numId w:val="0"/>
        </w:numPr>
        <w:spacing w:before="100" w:after="100" w:line="360" w:lineRule="exact"/>
        <w:rPr>
          <w:rFonts w:hint="eastAsia" w:ascii="仿宋" w:hAnsi="仿宋" w:eastAsia="仿宋" w:cs="仿宋"/>
          <w:b/>
          <w:bCs/>
          <w:color w:val="auto"/>
          <w:highlight w:val="none"/>
          <w:lang w:eastAsia="zh-CN"/>
        </w:rPr>
      </w:pPr>
      <w:r>
        <w:rPr>
          <w:rFonts w:hint="eastAsia" w:ascii="仿宋" w:hAnsi="仿宋" w:eastAsia="仿宋" w:cs="仿宋"/>
          <w:b/>
          <w:bCs/>
          <w:color w:val="auto"/>
          <w:highlight w:val="none"/>
          <w:lang w:eastAsia="zh-CN"/>
        </w:rPr>
        <w:t>9.其它条款</w:t>
      </w:r>
    </w:p>
    <w:p>
      <w:pPr>
        <w:adjustRightInd w:val="0"/>
        <w:snapToGrid w:val="0"/>
        <w:spacing w:line="360" w:lineRule="exact"/>
        <w:ind w:firstLine="480" w:firstLineChars="200"/>
        <w:jc w:val="left"/>
        <w:rPr>
          <w:rFonts w:hint="eastAsia" w:ascii="仿宋" w:hAnsi="仿宋" w:eastAsia="仿宋" w:cs="仿宋"/>
          <w:color w:val="auto"/>
          <w:highlight w:val="none"/>
          <w:lang w:eastAsia="zh-CN"/>
        </w:rPr>
      </w:pPr>
      <w:r>
        <w:rPr>
          <w:rFonts w:hint="eastAsia" w:ascii="仿宋" w:hAnsi="仿宋" w:eastAsia="仿宋" w:cs="仿宋"/>
          <w:color w:val="auto"/>
          <w:highlight w:val="none"/>
          <w:lang w:eastAsia="zh-CN"/>
        </w:rPr>
        <w:t>1.本合同全部附件为合同的组成部分，经过招投标的项目，招投标文件视为合同的一部分，并与合同一起阅读和解释。</w:t>
      </w:r>
    </w:p>
    <w:p>
      <w:pPr>
        <w:adjustRightInd w:val="0"/>
        <w:snapToGrid w:val="0"/>
        <w:spacing w:line="360" w:lineRule="exact"/>
        <w:ind w:firstLine="480" w:firstLineChars="200"/>
        <w:jc w:val="left"/>
        <w:rPr>
          <w:rFonts w:hint="eastAsia" w:ascii="仿宋" w:hAnsi="仿宋" w:eastAsia="仿宋" w:cs="仿宋"/>
          <w:color w:val="auto"/>
          <w:highlight w:val="none"/>
          <w:lang w:eastAsia="zh-CN"/>
        </w:rPr>
      </w:pPr>
      <w:r>
        <w:rPr>
          <w:rFonts w:hint="eastAsia" w:ascii="仿宋" w:hAnsi="仿宋" w:eastAsia="仿宋" w:cs="仿宋"/>
          <w:color w:val="auto"/>
          <w:highlight w:val="none"/>
          <w:lang w:eastAsia="zh-CN"/>
        </w:rPr>
        <w:t>2项目款应实行专款专用，并符合财政相关管理规定。</w:t>
      </w:r>
    </w:p>
    <w:p>
      <w:pPr>
        <w:adjustRightInd w:val="0"/>
        <w:snapToGrid w:val="0"/>
        <w:spacing w:line="360" w:lineRule="exact"/>
        <w:ind w:firstLine="480" w:firstLineChars="200"/>
        <w:jc w:val="left"/>
        <w:rPr>
          <w:rFonts w:hint="eastAsia" w:ascii="仿宋" w:hAnsi="仿宋" w:eastAsia="仿宋" w:cs="仿宋"/>
          <w:color w:val="auto"/>
          <w:highlight w:val="none"/>
          <w:lang w:eastAsia="zh-CN"/>
        </w:rPr>
      </w:pPr>
      <w:r>
        <w:rPr>
          <w:rFonts w:hint="eastAsia" w:ascii="仿宋" w:hAnsi="仿宋" w:eastAsia="仿宋" w:cs="仿宋"/>
          <w:color w:val="auto"/>
          <w:highlight w:val="none"/>
          <w:lang w:eastAsia="zh-CN"/>
        </w:rPr>
        <w:t>3.本合同经合同各方盖章后生效。本合同有未尽事宜或合同生效后，合同履行的基础条件发生重大变更的，可由双方协商并通过签订补充合同的方式对相关内容予以变更确认。</w:t>
      </w:r>
    </w:p>
    <w:p>
      <w:pPr>
        <w:adjustRightInd w:val="0"/>
        <w:snapToGrid w:val="0"/>
        <w:spacing w:line="360" w:lineRule="exact"/>
        <w:ind w:firstLine="480" w:firstLineChars="200"/>
        <w:jc w:val="left"/>
        <w:rPr>
          <w:rFonts w:hint="eastAsia" w:ascii="仿宋" w:hAnsi="仿宋" w:eastAsia="仿宋" w:cs="仿宋"/>
          <w:color w:val="auto"/>
          <w:highlight w:val="none"/>
          <w:lang w:eastAsia="zh-CN"/>
        </w:rPr>
      </w:pPr>
      <w:r>
        <w:rPr>
          <w:rFonts w:hint="eastAsia" w:ascii="仿宋" w:hAnsi="仿宋" w:eastAsia="仿宋" w:cs="仿宋"/>
          <w:color w:val="auto"/>
          <w:highlight w:val="none"/>
          <w:lang w:eastAsia="zh-CN"/>
        </w:rPr>
        <w:t>4.本合同一式  四  份，并且从合同签订日期起生效。</w:t>
      </w:r>
    </w:p>
    <w:p>
      <w:pPr>
        <w:adjustRightInd w:val="0"/>
        <w:snapToGrid w:val="0"/>
        <w:spacing w:line="360" w:lineRule="exact"/>
        <w:ind w:firstLine="480" w:firstLineChars="200"/>
        <w:jc w:val="left"/>
        <w:rPr>
          <w:rFonts w:hint="eastAsia"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   上述条款未尽事宜，双方协商解决。</w:t>
      </w:r>
    </w:p>
    <w:p>
      <w:pPr>
        <w:jc w:val="left"/>
        <w:rPr>
          <w:rFonts w:hint="eastAsia" w:ascii="仿宋" w:hAnsi="仿宋" w:eastAsia="仿宋" w:cs="仿宋"/>
          <w:color w:val="auto"/>
          <w:highlight w:val="none"/>
          <w:lang w:eastAsia="zh-CN"/>
        </w:rPr>
      </w:pPr>
    </w:p>
    <w:p>
      <w:pPr>
        <w:ind w:firstLine="480"/>
        <w:jc w:val="left"/>
        <w:rPr>
          <w:rFonts w:hint="eastAsia" w:ascii="仿宋" w:hAnsi="仿宋" w:eastAsia="仿宋" w:cs="仿宋"/>
          <w:color w:val="auto"/>
          <w:highlight w:val="none"/>
        </w:rPr>
      </w:pPr>
      <w:r>
        <w:rPr>
          <w:rFonts w:hint="eastAsia" w:ascii="仿宋" w:hAnsi="仿宋" w:eastAsia="仿宋" w:cs="仿宋"/>
          <w:color w:val="auto"/>
          <w:highlight w:val="none"/>
        </w:rPr>
        <w:t>签约各方：</w:t>
      </w:r>
    </w:p>
    <w:tbl>
      <w:tblPr>
        <w:tblStyle w:val="40"/>
        <w:tblW w:w="0" w:type="auto"/>
        <w:tblCellSpacing w:w="7" w:type="dxa"/>
        <w:tblInd w:w="0" w:type="dxa"/>
        <w:tblLayout w:type="fixed"/>
        <w:tblCellMar>
          <w:top w:w="15" w:type="dxa"/>
          <w:left w:w="15" w:type="dxa"/>
          <w:bottom w:w="15" w:type="dxa"/>
          <w:right w:w="15" w:type="dxa"/>
        </w:tblCellMar>
      </w:tblPr>
      <w:tblGrid>
        <w:gridCol w:w="4549"/>
        <w:gridCol w:w="4501"/>
      </w:tblGrid>
      <w:tr>
        <w:tblPrEx>
          <w:tblCellMar>
            <w:top w:w="15" w:type="dxa"/>
            <w:left w:w="15" w:type="dxa"/>
            <w:bottom w:w="15" w:type="dxa"/>
            <w:right w:w="15" w:type="dxa"/>
          </w:tblCellMar>
        </w:tblPrEx>
        <w:trPr>
          <w:trHeight w:val="582" w:hRule="atLeast"/>
          <w:tblCellSpacing w:w="7" w:type="dxa"/>
        </w:trPr>
        <w:tc>
          <w:tcPr>
            <w:tcW w:w="4528" w:type="dxa"/>
            <w:tcBorders>
              <w:tl2br w:val="nil"/>
              <w:tr2bl w:val="nil"/>
            </w:tcBorders>
            <w:vAlign w:val="center"/>
          </w:tcPr>
          <w:p>
            <w:pPr>
              <w:ind w:firstLine="480"/>
              <w:jc w:val="left"/>
              <w:rPr>
                <w:rFonts w:hint="eastAsia" w:ascii="仿宋" w:hAnsi="仿宋" w:eastAsia="仿宋" w:cs="仿宋"/>
                <w:color w:val="auto"/>
                <w:highlight w:val="none"/>
              </w:rPr>
            </w:pPr>
            <w:r>
              <w:rPr>
                <w:rFonts w:hint="eastAsia" w:ascii="仿宋" w:hAnsi="仿宋" w:eastAsia="仿宋" w:cs="仿宋"/>
                <w:color w:val="auto"/>
                <w:highlight w:val="none"/>
              </w:rPr>
              <w:t>甲方（盖章）：</w:t>
            </w:r>
          </w:p>
        </w:tc>
        <w:tc>
          <w:tcPr>
            <w:tcW w:w="4480" w:type="dxa"/>
            <w:tcBorders>
              <w:tl2br w:val="nil"/>
              <w:tr2bl w:val="nil"/>
            </w:tcBorders>
            <w:vAlign w:val="center"/>
          </w:tcPr>
          <w:p>
            <w:pPr>
              <w:ind w:firstLine="480"/>
              <w:jc w:val="left"/>
              <w:rPr>
                <w:rFonts w:hint="eastAsia" w:ascii="仿宋" w:hAnsi="仿宋" w:eastAsia="仿宋" w:cs="仿宋"/>
                <w:color w:val="auto"/>
                <w:highlight w:val="none"/>
              </w:rPr>
            </w:pPr>
            <w:r>
              <w:rPr>
                <w:rFonts w:hint="eastAsia" w:ascii="仿宋" w:hAnsi="仿宋" w:eastAsia="仿宋" w:cs="仿宋"/>
                <w:color w:val="auto"/>
                <w:highlight w:val="none"/>
              </w:rPr>
              <w:t xml:space="preserve">乙方（盖章）： </w:t>
            </w:r>
          </w:p>
        </w:tc>
      </w:tr>
      <w:tr>
        <w:tblPrEx>
          <w:tblCellMar>
            <w:top w:w="15" w:type="dxa"/>
            <w:left w:w="15" w:type="dxa"/>
            <w:bottom w:w="15" w:type="dxa"/>
            <w:right w:w="15" w:type="dxa"/>
          </w:tblCellMar>
        </w:tblPrEx>
        <w:trPr>
          <w:trHeight w:val="582" w:hRule="atLeast"/>
          <w:tblCellSpacing w:w="7" w:type="dxa"/>
        </w:trPr>
        <w:tc>
          <w:tcPr>
            <w:tcW w:w="4528" w:type="dxa"/>
            <w:tcBorders>
              <w:tl2br w:val="nil"/>
              <w:tr2bl w:val="nil"/>
            </w:tcBorders>
            <w:vAlign w:val="center"/>
          </w:tcPr>
          <w:p>
            <w:pPr>
              <w:ind w:firstLine="480"/>
              <w:jc w:val="left"/>
              <w:rPr>
                <w:rFonts w:hint="eastAsia" w:ascii="仿宋" w:hAnsi="仿宋" w:eastAsia="仿宋" w:cs="仿宋"/>
                <w:color w:val="auto"/>
                <w:highlight w:val="none"/>
                <w:lang w:eastAsia="zh-CN"/>
              </w:rPr>
            </w:pPr>
            <w:r>
              <w:rPr>
                <w:rFonts w:hint="eastAsia" w:ascii="仿宋" w:hAnsi="仿宋" w:eastAsia="仿宋" w:cs="仿宋"/>
                <w:color w:val="auto"/>
                <w:highlight w:val="none"/>
                <w:lang w:eastAsia="zh-CN"/>
              </w:rPr>
              <w:t>法定代表人或授权委托人（签章）：</w:t>
            </w:r>
          </w:p>
          <w:p>
            <w:pPr>
              <w:ind w:firstLine="480"/>
              <w:jc w:val="left"/>
              <w:rPr>
                <w:rFonts w:hint="eastAsia" w:ascii="仿宋" w:hAnsi="仿宋" w:eastAsia="仿宋" w:cs="仿宋"/>
                <w:color w:val="auto"/>
                <w:highlight w:val="none"/>
                <w:lang w:eastAsia="zh-CN"/>
              </w:rPr>
            </w:pPr>
          </w:p>
        </w:tc>
        <w:tc>
          <w:tcPr>
            <w:tcW w:w="4480" w:type="dxa"/>
            <w:tcBorders>
              <w:tl2br w:val="nil"/>
              <w:tr2bl w:val="nil"/>
            </w:tcBorders>
            <w:vAlign w:val="center"/>
          </w:tcPr>
          <w:p>
            <w:pPr>
              <w:ind w:firstLine="480"/>
              <w:jc w:val="left"/>
              <w:rPr>
                <w:rFonts w:hint="eastAsia" w:ascii="仿宋" w:hAnsi="仿宋" w:eastAsia="仿宋" w:cs="仿宋"/>
                <w:color w:val="auto"/>
                <w:highlight w:val="none"/>
                <w:lang w:eastAsia="zh-CN"/>
              </w:rPr>
            </w:pPr>
            <w:r>
              <w:rPr>
                <w:rFonts w:hint="eastAsia" w:ascii="仿宋" w:hAnsi="仿宋" w:eastAsia="仿宋" w:cs="仿宋"/>
                <w:color w:val="auto"/>
                <w:highlight w:val="none"/>
                <w:lang w:eastAsia="zh-CN"/>
              </w:rPr>
              <w:t>法定代表人或授权委托人（签章）：</w:t>
            </w:r>
          </w:p>
          <w:p>
            <w:pPr>
              <w:ind w:firstLine="480"/>
              <w:jc w:val="left"/>
              <w:rPr>
                <w:rFonts w:hint="eastAsia" w:ascii="仿宋" w:hAnsi="仿宋" w:eastAsia="仿宋" w:cs="仿宋"/>
                <w:color w:val="auto"/>
                <w:highlight w:val="none"/>
                <w:lang w:eastAsia="zh-CN"/>
              </w:rPr>
            </w:pPr>
          </w:p>
        </w:tc>
      </w:tr>
      <w:tr>
        <w:tblPrEx>
          <w:tblCellMar>
            <w:top w:w="15" w:type="dxa"/>
            <w:left w:w="15" w:type="dxa"/>
            <w:bottom w:w="15" w:type="dxa"/>
            <w:right w:w="15" w:type="dxa"/>
          </w:tblCellMar>
        </w:tblPrEx>
        <w:trPr>
          <w:trHeight w:val="582" w:hRule="atLeast"/>
          <w:tblCellSpacing w:w="7" w:type="dxa"/>
        </w:trPr>
        <w:tc>
          <w:tcPr>
            <w:tcW w:w="4528" w:type="dxa"/>
            <w:tcBorders>
              <w:tl2br w:val="nil"/>
              <w:tr2bl w:val="nil"/>
            </w:tcBorders>
            <w:vAlign w:val="center"/>
          </w:tcPr>
          <w:p>
            <w:pPr>
              <w:ind w:firstLine="480"/>
              <w:jc w:val="left"/>
              <w:rPr>
                <w:rFonts w:hint="eastAsia" w:ascii="仿宋" w:hAnsi="仿宋" w:eastAsia="仿宋" w:cs="仿宋"/>
                <w:color w:val="auto"/>
                <w:highlight w:val="none"/>
                <w:lang w:eastAsia="zh-CN"/>
              </w:rPr>
            </w:pPr>
            <w:r>
              <w:rPr>
                <w:rFonts w:hint="eastAsia" w:ascii="仿宋" w:hAnsi="仿宋" w:eastAsia="仿宋" w:cs="仿宋"/>
                <w:color w:val="auto"/>
                <w:highlight w:val="none"/>
              </w:rPr>
              <w:t>合同签订地点：</w:t>
            </w:r>
            <w:r>
              <w:rPr>
                <w:rFonts w:hint="eastAsia" w:ascii="仿宋" w:hAnsi="仿宋" w:eastAsia="仿宋" w:cs="仿宋"/>
                <w:color w:val="auto"/>
                <w:highlight w:val="none"/>
                <w:lang w:eastAsia="zh-CN"/>
              </w:rPr>
              <w:t>上海松江</w:t>
            </w:r>
          </w:p>
        </w:tc>
        <w:tc>
          <w:tcPr>
            <w:tcW w:w="4480" w:type="dxa"/>
            <w:tcBorders>
              <w:tl2br w:val="nil"/>
              <w:tr2bl w:val="nil"/>
            </w:tcBorders>
            <w:vAlign w:val="center"/>
          </w:tcPr>
          <w:p>
            <w:pPr>
              <w:ind w:firstLine="480"/>
              <w:jc w:val="left"/>
              <w:rPr>
                <w:rFonts w:hint="eastAsia" w:ascii="仿宋" w:hAnsi="仿宋" w:eastAsia="仿宋" w:cs="仿宋"/>
                <w:color w:val="auto"/>
                <w:highlight w:val="none"/>
              </w:rPr>
            </w:pPr>
            <w:r>
              <w:rPr>
                <w:rFonts w:hint="eastAsia" w:ascii="仿宋" w:hAnsi="仿宋" w:eastAsia="仿宋" w:cs="仿宋"/>
                <w:color w:val="auto"/>
                <w:highlight w:val="none"/>
              </w:rPr>
              <w:t>合同签订地点：</w:t>
            </w:r>
            <w:r>
              <w:rPr>
                <w:rFonts w:hint="eastAsia" w:ascii="仿宋" w:hAnsi="仿宋" w:eastAsia="仿宋" w:cs="仿宋"/>
                <w:color w:val="auto"/>
                <w:highlight w:val="none"/>
                <w:lang w:eastAsia="zh-CN"/>
              </w:rPr>
              <w:t>上海松江</w:t>
            </w:r>
          </w:p>
        </w:tc>
      </w:tr>
      <w:tr>
        <w:tblPrEx>
          <w:tblCellMar>
            <w:top w:w="15" w:type="dxa"/>
            <w:left w:w="15" w:type="dxa"/>
            <w:bottom w:w="15" w:type="dxa"/>
            <w:right w:w="15" w:type="dxa"/>
          </w:tblCellMar>
        </w:tblPrEx>
        <w:trPr>
          <w:trHeight w:val="582" w:hRule="atLeast"/>
          <w:tblCellSpacing w:w="7" w:type="dxa"/>
        </w:trPr>
        <w:tc>
          <w:tcPr>
            <w:tcW w:w="4528" w:type="dxa"/>
            <w:tcBorders>
              <w:tl2br w:val="nil"/>
              <w:tr2bl w:val="nil"/>
            </w:tcBorders>
            <w:vAlign w:val="center"/>
          </w:tcPr>
          <w:p>
            <w:pPr>
              <w:ind w:firstLine="480" w:firstLineChars="200"/>
              <w:jc w:val="left"/>
              <w:rPr>
                <w:rFonts w:hint="eastAsia" w:ascii="仿宋" w:hAnsi="仿宋" w:eastAsia="仿宋" w:cs="仿宋"/>
                <w:color w:val="auto"/>
                <w:highlight w:val="none"/>
              </w:rPr>
            </w:pPr>
            <w:r>
              <w:rPr>
                <w:rFonts w:hint="eastAsia" w:ascii="仿宋" w:hAnsi="仿宋" w:eastAsia="仿宋" w:cs="仿宋"/>
                <w:color w:val="auto"/>
                <w:highlight w:val="none"/>
              </w:rPr>
              <w:t>日期：</w:t>
            </w:r>
          </w:p>
        </w:tc>
        <w:tc>
          <w:tcPr>
            <w:tcW w:w="4480" w:type="dxa"/>
            <w:tcBorders>
              <w:tl2br w:val="nil"/>
              <w:tr2bl w:val="nil"/>
            </w:tcBorders>
            <w:vAlign w:val="center"/>
          </w:tcPr>
          <w:p>
            <w:pPr>
              <w:ind w:firstLine="480"/>
              <w:jc w:val="left"/>
              <w:rPr>
                <w:rFonts w:hint="eastAsia" w:ascii="仿宋" w:hAnsi="仿宋" w:eastAsia="仿宋" w:cs="仿宋"/>
                <w:color w:val="auto"/>
                <w:highlight w:val="none"/>
              </w:rPr>
            </w:pPr>
            <w:r>
              <w:rPr>
                <w:rFonts w:hint="eastAsia" w:ascii="仿宋" w:hAnsi="仿宋" w:eastAsia="仿宋" w:cs="仿宋"/>
                <w:color w:val="auto"/>
                <w:highlight w:val="none"/>
              </w:rPr>
              <w:t>日期：</w:t>
            </w:r>
          </w:p>
        </w:tc>
      </w:tr>
    </w:tbl>
    <w:p>
      <w:pPr>
        <w:tabs>
          <w:tab w:val="left" w:pos="1440"/>
        </w:tabs>
        <w:snapToGrid w:val="0"/>
        <w:ind w:firstLine="480" w:firstLineChars="200"/>
        <w:rPr>
          <w:rFonts w:hint="eastAsia" w:ascii="仿宋" w:hAnsi="仿宋" w:eastAsia="仿宋" w:cs="仿宋"/>
          <w:color w:val="auto"/>
          <w:highlight w:val="none"/>
        </w:rPr>
      </w:pPr>
    </w:p>
    <w:p>
      <w:pPr>
        <w:spacing w:line="460" w:lineRule="exact"/>
        <w:ind w:firstLine="560" w:firstLineChars="200"/>
        <w:rPr>
          <w:rFonts w:hint="eastAsia" w:ascii="仿宋_GB2312" w:hAnsi="仿宋_GB2312" w:eastAsia="仿宋_GB2312" w:cs="仿宋_GB2312"/>
          <w:color w:val="auto"/>
          <w:sz w:val="28"/>
          <w:szCs w:val="28"/>
          <w:highlight w:val="none"/>
          <w:shd w:val="clear" w:color="auto" w:fill="FFFFFF"/>
          <w:lang w:eastAsia="zh-CN"/>
        </w:rPr>
      </w:pPr>
    </w:p>
    <w:p>
      <w:pPr>
        <w:pStyle w:val="4"/>
        <w:rPr>
          <w:color w:val="auto"/>
          <w:highlight w:val="none"/>
          <w:lang w:eastAsia="zh-CN"/>
        </w:rPr>
      </w:pPr>
    </w:p>
    <w:sectPr>
      <w:pgSz w:w="11906" w:h="16838"/>
      <w:pgMar w:top="1417" w:right="1417" w:bottom="1417" w:left="1417" w:header="720" w:footer="720" w:gutter="0"/>
      <w:pgNumType w:start="1"/>
      <w:cols w:space="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ＭＳ ゴシック">
    <w:altName w:val="仿宋_GB2312"/>
    <w:panose1 w:val="00000000000000000000"/>
    <w:charset w:val="00"/>
    <w:family w:val="auto"/>
    <w:pitch w:val="default"/>
    <w:sig w:usb0="00000000" w:usb1="00000000" w:usb2="00000000" w:usb3="00000000" w:csb0="00000000" w:csb1="00000000"/>
  </w:font>
  <w:font w:name="仿宋_GB2312">
    <w:panose1 w:val="02010609030101010101"/>
    <w:charset w:val="86"/>
    <w:family w:val="auto"/>
    <w:pitch w:val="default"/>
    <w:sig w:usb0="00000001" w:usb1="080E0000" w:usb2="00000000" w:usb3="00000000" w:csb0="00040000" w:csb1="00000000"/>
  </w:font>
  <w:font w:name="Courier">
    <w:altName w:val="Liberation Mono"/>
    <w:panose1 w:val="02070409020205020404"/>
    <w:charset w:val="00"/>
    <w:family w:val="auto"/>
    <w:pitch w:val="default"/>
    <w:sig w:usb0="00000000" w:usb1="00000000" w:usb2="00000000" w:usb3="00000000" w:csb0="00000001" w:csb1="00000000"/>
  </w:font>
  <w:font w:name="Liberation Mono">
    <w:panose1 w:val="02070409020205020404"/>
    <w:charset w:val="00"/>
    <w:family w:val="auto"/>
    <w:pitch w:val="default"/>
    <w:sig w:usb0="A00002AF" w:usb1="400078FB" w:usb2="00000000" w:usb3="00000000" w:csb0="6000009F" w:csb1="DFD70000"/>
  </w:font>
  <w:font w:name="ＭＳ 明朝">
    <w:altName w:val="仿宋_GB2312"/>
    <w:panose1 w:val="00000000000000000000"/>
    <w:charset w:val="00"/>
    <w:family w:val="auto"/>
    <w:pitch w:val="default"/>
    <w:sig w:usb0="00000000" w:usb1="00000000" w:usb2="00000000" w:usb3="00000000" w:csb0="00000000" w:csb1="00000000"/>
  </w:font>
  <w:font w:name="Cambria">
    <w:altName w:val="Noto Sans Syriac Eastern"/>
    <w:panose1 w:val="02040503050406030204"/>
    <w:charset w:val="00"/>
    <w:family w:val="roman"/>
    <w:pitch w:val="default"/>
    <w:sig w:usb0="00000000" w:usb1="00000000" w:usb2="02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方正小标宋简体">
    <w:panose1 w:val="02000000000000000000"/>
    <w:charset w:val="86"/>
    <w:family w:val="auto"/>
    <w:pitch w:val="default"/>
    <w:sig w:usb0="A00002BF" w:usb1="184F6CFA" w:usb2="00000012" w:usb3="00000000" w:csb0="00040001" w:csb1="00000000"/>
  </w:font>
  <w:font w:name="仿宋">
    <w:panose1 w:val="02010609060101010101"/>
    <w:charset w:val="86"/>
    <w:family w:val="auto"/>
    <w:pitch w:val="default"/>
    <w:sig w:usb0="800002BF" w:usb1="38CF7CFA" w:usb2="00000016" w:usb3="00000000" w:csb0="00040001" w:csb1="00000000"/>
  </w:font>
  <w:font w:name="方正仿宋_GBK">
    <w:panose1 w:val="02000000000000000000"/>
    <w:charset w:val="86"/>
    <w:family w:val="auto"/>
    <w:pitch w:val="default"/>
    <w:sig w:usb0="00000001" w:usb1="0800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2"/>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9"/>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5"/>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abstractNum w:abstractNumId="6">
    <w:nsid w:val="17803DA4"/>
    <w:multiLevelType w:val="multilevel"/>
    <w:tmpl w:val="17803DA4"/>
    <w:lvl w:ilvl="0" w:tentative="0">
      <w:start w:val="1"/>
      <w:numFmt w:val="decimal"/>
      <w:pStyle w:val="178"/>
      <w:lvlText w:val="（%1）"/>
      <w:lvlJc w:val="left"/>
      <w:pPr>
        <w:ind w:left="1080" w:hanging="1080"/>
      </w:pPr>
      <w:rPr>
        <w:rFonts w:hint="default"/>
      </w:rPr>
    </w:lvl>
    <w:lvl w:ilvl="1" w:tentative="0">
      <w:start w:val="1"/>
      <w:numFmt w:val="lowerLetter"/>
      <w:lvlText w:val="%2)"/>
      <w:lvlJc w:val="left"/>
      <w:pPr>
        <w:ind w:left="1625" w:hanging="420"/>
      </w:pPr>
    </w:lvl>
    <w:lvl w:ilvl="2" w:tentative="0">
      <w:start w:val="1"/>
      <w:numFmt w:val="lowerRoman"/>
      <w:lvlText w:val="%3."/>
      <w:lvlJc w:val="right"/>
      <w:pPr>
        <w:ind w:left="2045" w:hanging="420"/>
      </w:pPr>
    </w:lvl>
    <w:lvl w:ilvl="3" w:tentative="0">
      <w:start w:val="1"/>
      <w:numFmt w:val="decimal"/>
      <w:lvlText w:val="%4."/>
      <w:lvlJc w:val="left"/>
      <w:pPr>
        <w:ind w:left="2465" w:hanging="420"/>
      </w:pPr>
    </w:lvl>
    <w:lvl w:ilvl="4" w:tentative="0">
      <w:start w:val="1"/>
      <w:numFmt w:val="lowerLetter"/>
      <w:lvlText w:val="%5)"/>
      <w:lvlJc w:val="left"/>
      <w:pPr>
        <w:ind w:left="2885" w:hanging="420"/>
      </w:pPr>
    </w:lvl>
    <w:lvl w:ilvl="5" w:tentative="0">
      <w:start w:val="1"/>
      <w:numFmt w:val="lowerRoman"/>
      <w:lvlText w:val="%6."/>
      <w:lvlJc w:val="right"/>
      <w:pPr>
        <w:ind w:left="3305" w:hanging="420"/>
      </w:pPr>
    </w:lvl>
    <w:lvl w:ilvl="6" w:tentative="0">
      <w:start w:val="1"/>
      <w:numFmt w:val="decimal"/>
      <w:lvlText w:val="%7."/>
      <w:lvlJc w:val="left"/>
      <w:pPr>
        <w:ind w:left="3725" w:hanging="420"/>
      </w:pPr>
    </w:lvl>
    <w:lvl w:ilvl="7" w:tentative="0">
      <w:start w:val="1"/>
      <w:numFmt w:val="lowerLetter"/>
      <w:lvlText w:val="%8)"/>
      <w:lvlJc w:val="left"/>
      <w:pPr>
        <w:ind w:left="4145" w:hanging="420"/>
      </w:pPr>
    </w:lvl>
    <w:lvl w:ilvl="8" w:tentative="0">
      <w:start w:val="1"/>
      <w:numFmt w:val="lowerRoman"/>
      <w:lvlText w:val="%9."/>
      <w:lvlJc w:val="right"/>
      <w:pPr>
        <w:ind w:left="4565" w:hanging="420"/>
      </w:pPr>
    </w:lvl>
  </w:abstractNum>
  <w:num w:numId="1">
    <w:abstractNumId w:val="1"/>
  </w:num>
  <w:num w:numId="2">
    <w:abstractNumId w:val="4"/>
  </w:num>
  <w:num w:numId="3">
    <w:abstractNumId w:val="5"/>
  </w:num>
  <w:num w:numId="4">
    <w:abstractNumId w:val="2"/>
  </w:num>
  <w:num w:numId="5">
    <w:abstractNumId w:val="0"/>
  </w:num>
  <w:num w:numId="6">
    <w:abstractNumId w:val="3"/>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noPunctuationKerning w:val="1"/>
  <w:characterSpacingControl w:val="doNotCompress"/>
  <w:footnotePr>
    <w:footnote w:id="0"/>
    <w:footnote w:id="1"/>
  </w:footnotePr>
  <w:endnotePr>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08307E"/>
    <w:rsid w:val="000925CA"/>
    <w:rsid w:val="0015074B"/>
    <w:rsid w:val="002664C5"/>
    <w:rsid w:val="0029639D"/>
    <w:rsid w:val="00326F90"/>
    <w:rsid w:val="00374BBB"/>
    <w:rsid w:val="003B4051"/>
    <w:rsid w:val="0040728D"/>
    <w:rsid w:val="00451E47"/>
    <w:rsid w:val="00471EFC"/>
    <w:rsid w:val="00612F5D"/>
    <w:rsid w:val="00662D44"/>
    <w:rsid w:val="006874BB"/>
    <w:rsid w:val="007113BB"/>
    <w:rsid w:val="00752F40"/>
    <w:rsid w:val="007B3509"/>
    <w:rsid w:val="00875C1E"/>
    <w:rsid w:val="008E2ABE"/>
    <w:rsid w:val="009526E6"/>
    <w:rsid w:val="009D1CC0"/>
    <w:rsid w:val="009F54FB"/>
    <w:rsid w:val="00AA1D8D"/>
    <w:rsid w:val="00B47730"/>
    <w:rsid w:val="00CB0664"/>
    <w:rsid w:val="00E47D37"/>
    <w:rsid w:val="00EE7AB4"/>
    <w:rsid w:val="00FB63C4"/>
    <w:rsid w:val="00FC693F"/>
    <w:rsid w:val="04E40141"/>
    <w:rsid w:val="09C7F970"/>
    <w:rsid w:val="0B7618CA"/>
    <w:rsid w:val="14391796"/>
    <w:rsid w:val="171C5E57"/>
    <w:rsid w:val="1F5F019C"/>
    <w:rsid w:val="23221A11"/>
    <w:rsid w:val="27B75155"/>
    <w:rsid w:val="37CFD2A3"/>
    <w:rsid w:val="395A4645"/>
    <w:rsid w:val="3EDA6B0C"/>
    <w:rsid w:val="3FFF4329"/>
    <w:rsid w:val="4804405E"/>
    <w:rsid w:val="4A5D10BC"/>
    <w:rsid w:val="53E421E6"/>
    <w:rsid w:val="58FA58CE"/>
    <w:rsid w:val="5BFC6F5F"/>
    <w:rsid w:val="5CE768A3"/>
    <w:rsid w:val="5D6EAE22"/>
    <w:rsid w:val="5E7F3D4C"/>
    <w:rsid w:val="5EF675F4"/>
    <w:rsid w:val="5F1D41BA"/>
    <w:rsid w:val="5F5908DF"/>
    <w:rsid w:val="65290C3F"/>
    <w:rsid w:val="6A526CDE"/>
    <w:rsid w:val="6DD5FB8C"/>
    <w:rsid w:val="6E7B2187"/>
    <w:rsid w:val="6F7DF9AB"/>
    <w:rsid w:val="6FB3BCD7"/>
    <w:rsid w:val="71FC1B37"/>
    <w:rsid w:val="74CEBFA8"/>
    <w:rsid w:val="77A9ADF8"/>
    <w:rsid w:val="79B7A916"/>
    <w:rsid w:val="7AFDC214"/>
    <w:rsid w:val="7D1D3B52"/>
    <w:rsid w:val="7DFD5C93"/>
    <w:rsid w:val="7EE9EF7F"/>
    <w:rsid w:val="7FABDB5C"/>
    <w:rsid w:val="7FAE1153"/>
    <w:rsid w:val="7FBA7AB1"/>
    <w:rsid w:val="7FBF0013"/>
    <w:rsid w:val="7FDBD3A4"/>
    <w:rsid w:val="7FFF8113"/>
    <w:rsid w:val="7FFFFA34"/>
    <w:rsid w:val="9EF3A11C"/>
    <w:rsid w:val="B8FF1920"/>
    <w:rsid w:val="BC7313B8"/>
    <w:rsid w:val="BDBD602C"/>
    <w:rsid w:val="BDEBF2E7"/>
    <w:rsid w:val="D4FB8ADC"/>
    <w:rsid w:val="DED7080E"/>
    <w:rsid w:val="E6CEBE7C"/>
    <w:rsid w:val="E77FC28A"/>
    <w:rsid w:val="E7EF51D9"/>
    <w:rsid w:val="EBBE7048"/>
    <w:rsid w:val="EBFB8409"/>
    <w:rsid w:val="ED6E2A5B"/>
    <w:rsid w:val="EEDAA303"/>
    <w:rsid w:val="F3FB2BD8"/>
    <w:rsid w:val="F56F35B3"/>
    <w:rsid w:val="F5FBF597"/>
    <w:rsid w:val="F872ADC6"/>
    <w:rsid w:val="F8FB632B"/>
    <w:rsid w:val="F9FFBA88"/>
    <w:rsid w:val="FBF96FFE"/>
    <w:rsid w:val="FDBC196F"/>
    <w:rsid w:val="FDFB18F8"/>
    <w:rsid w:val="FEB12DE4"/>
    <w:rsid w:val="FFBF6479"/>
    <w:rsid w:val="FFFFC775"/>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99" w:semiHidden="0"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line="360" w:lineRule="auto"/>
      <w:jc w:val="both"/>
    </w:pPr>
    <w:rPr>
      <w:rFonts w:ascii="Arial" w:hAnsi="Arial" w:eastAsia="宋体" w:cstheme="minorBidi"/>
      <w:sz w:val="24"/>
      <w:szCs w:val="22"/>
      <w:lang w:val="en-US" w:eastAsia="en-US" w:bidi="ar-SA"/>
    </w:rPr>
  </w:style>
  <w:style w:type="paragraph" w:styleId="3">
    <w:name w:val="heading 1"/>
    <w:basedOn w:val="1"/>
    <w:next w:val="1"/>
    <w:link w:val="148"/>
    <w:qFormat/>
    <w:uiPriority w:val="9"/>
    <w:pPr>
      <w:keepNext/>
      <w:keepLines/>
      <w:spacing w:before="280" w:after="120" w:line="312" w:lineRule="auto"/>
      <w:jc w:val="left"/>
      <w:outlineLvl w:val="0"/>
    </w:pPr>
    <w:rPr>
      <w:rFonts w:asciiTheme="majorHAnsi" w:hAnsiTheme="majorHAnsi" w:eastAsiaTheme="majorEastAsia" w:cstheme="majorBidi"/>
      <w:b/>
      <w:bCs/>
      <w:color w:val="000000"/>
      <w:sz w:val="32"/>
      <w:szCs w:val="28"/>
    </w:rPr>
  </w:style>
  <w:style w:type="paragraph" w:styleId="4">
    <w:name w:val="heading 2"/>
    <w:basedOn w:val="1"/>
    <w:next w:val="1"/>
    <w:link w:val="149"/>
    <w:unhideWhenUsed/>
    <w:qFormat/>
    <w:uiPriority w:val="9"/>
    <w:pPr>
      <w:keepNext/>
      <w:keepLines/>
      <w:spacing w:before="220" w:after="100" w:line="312" w:lineRule="auto"/>
      <w:jc w:val="left"/>
      <w:outlineLvl w:val="1"/>
    </w:pPr>
    <w:rPr>
      <w:rFonts w:asciiTheme="majorHAnsi" w:hAnsiTheme="majorHAnsi" w:eastAsiaTheme="majorEastAsia" w:cstheme="majorBidi"/>
      <w:b/>
      <w:bCs/>
      <w:color w:val="000000"/>
      <w:sz w:val="28"/>
      <w:szCs w:val="26"/>
    </w:rPr>
  </w:style>
  <w:style w:type="paragraph" w:styleId="5">
    <w:name w:val="heading 3"/>
    <w:basedOn w:val="1"/>
    <w:next w:val="1"/>
    <w:link w:val="150"/>
    <w:unhideWhenUsed/>
    <w:qFormat/>
    <w:uiPriority w:val="9"/>
    <w:pPr>
      <w:keepNext/>
      <w:keepLines/>
      <w:spacing w:before="180" w:after="80" w:line="312" w:lineRule="auto"/>
      <w:jc w:val="left"/>
      <w:outlineLvl w:val="2"/>
    </w:pPr>
    <w:rPr>
      <w:rFonts w:asciiTheme="majorHAnsi" w:hAnsiTheme="majorHAnsi" w:eastAsiaTheme="majorEastAsia" w:cstheme="majorBidi"/>
      <w:b/>
      <w:bCs/>
      <w:color w:val="000000"/>
    </w:rPr>
  </w:style>
  <w:style w:type="paragraph" w:styleId="6">
    <w:name w:val="heading 4"/>
    <w:basedOn w:val="1"/>
    <w:next w:val="1"/>
    <w:link w:val="160"/>
    <w:semiHidden/>
    <w:unhideWhenUsed/>
    <w:qFormat/>
    <w:uiPriority w:val="9"/>
    <w:pPr>
      <w:keepNext/>
      <w:keepLines/>
      <w:spacing w:before="20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61"/>
    <w:semiHidden/>
    <w:unhideWhenUsed/>
    <w:qFormat/>
    <w:uiPriority w:val="9"/>
    <w:pPr>
      <w:keepNext/>
      <w:keepLines/>
      <w:spacing w:before="20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62"/>
    <w:semiHidden/>
    <w:unhideWhenUsed/>
    <w:qFormat/>
    <w:uiPriority w:val="9"/>
    <w:pPr>
      <w:keepNext/>
      <w:keepLines/>
      <w:spacing w:before="20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63"/>
    <w:semiHidden/>
    <w:unhideWhenUsed/>
    <w:qFormat/>
    <w:uiPriority w:val="9"/>
    <w:pPr>
      <w:keepNext/>
      <w:keepLines/>
      <w:spacing w:before="20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64"/>
    <w:semiHidden/>
    <w:unhideWhenUsed/>
    <w:qFormat/>
    <w:uiPriority w:val="9"/>
    <w:pPr>
      <w:keepNext/>
      <w:keepLines/>
      <w:spacing w:before="20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65"/>
    <w:semiHidden/>
    <w:unhideWhenUsed/>
    <w:qFormat/>
    <w:uiPriority w:val="9"/>
    <w:pPr>
      <w:keepNext/>
      <w:keepLines/>
      <w:spacing w:before="20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40">
    <w:name w:val="Default Paragraph Font"/>
    <w:semiHidden/>
    <w:unhideWhenUsed/>
    <w:qFormat/>
    <w:uiPriority w:val="1"/>
  </w:style>
  <w:style w:type="table" w:default="1" w:styleId="40">
    <w:name w:val="Normal Table"/>
    <w:semiHidden/>
    <w:unhideWhenUsed/>
    <w:qFormat/>
    <w:uiPriority w:val="99"/>
    <w:tblPr>
      <w:tblCellMar>
        <w:top w:w="0" w:type="dxa"/>
        <w:left w:w="108" w:type="dxa"/>
        <w:bottom w:w="0" w:type="dxa"/>
        <w:right w:w="108" w:type="dxa"/>
      </w:tblCellMar>
    </w:tblPr>
  </w:style>
  <w:style w:type="paragraph" w:styleId="2">
    <w:name w:val="macro"/>
    <w:link w:val="15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annotation text"/>
    <w:basedOn w:val="1"/>
    <w:link w:val="174"/>
    <w:semiHidden/>
    <w:unhideWhenUsed/>
    <w:qFormat/>
    <w:uiPriority w:val="99"/>
    <w:pPr>
      <w:jc w:val="left"/>
    </w:pPr>
  </w:style>
  <w:style w:type="paragraph" w:styleId="18">
    <w:name w:val="Body Text 3"/>
    <w:basedOn w:val="1"/>
    <w:link w:val="156"/>
    <w:unhideWhenUsed/>
    <w:qFormat/>
    <w:uiPriority w:val="99"/>
    <w:pPr>
      <w:spacing w:after="120"/>
    </w:pPr>
    <w:rPr>
      <w:sz w:val="16"/>
      <w:szCs w:val="16"/>
    </w:rPr>
  </w:style>
  <w:style w:type="paragraph" w:styleId="19">
    <w:name w:val="List Bullet 3"/>
    <w:basedOn w:val="1"/>
    <w:unhideWhenUsed/>
    <w:qFormat/>
    <w:uiPriority w:val="99"/>
    <w:pPr>
      <w:numPr>
        <w:ilvl w:val="0"/>
        <w:numId w:val="4"/>
      </w:numPr>
      <w:contextualSpacing/>
    </w:pPr>
  </w:style>
  <w:style w:type="paragraph" w:styleId="20">
    <w:name w:val="Body Text"/>
    <w:basedOn w:val="1"/>
    <w:next w:val="21"/>
    <w:link w:val="154"/>
    <w:unhideWhenUsed/>
    <w:qFormat/>
    <w:uiPriority w:val="99"/>
    <w:pPr>
      <w:spacing w:after="120"/>
    </w:pPr>
  </w:style>
  <w:style w:type="paragraph" w:styleId="21">
    <w:name w:val="Body Text First Indent"/>
    <w:basedOn w:val="20"/>
    <w:qFormat/>
    <w:uiPriority w:val="99"/>
    <w:pPr>
      <w:ind w:firstLine="420" w:firstLineChars="100"/>
    </w:pPr>
    <w:rPr>
      <w:sz w:val="20"/>
      <w:szCs w:val="20"/>
    </w:rPr>
  </w:style>
  <w:style w:type="paragraph" w:styleId="22">
    <w:name w:val="List Number 3"/>
    <w:basedOn w:val="1"/>
    <w:unhideWhenUsed/>
    <w:qFormat/>
    <w:uiPriority w:val="99"/>
    <w:pPr>
      <w:numPr>
        <w:ilvl w:val="0"/>
        <w:numId w:val="5"/>
      </w:numPr>
      <w:contextualSpacing/>
    </w:pPr>
  </w:style>
  <w:style w:type="paragraph" w:styleId="23">
    <w:name w:val="List 2"/>
    <w:basedOn w:val="1"/>
    <w:unhideWhenUsed/>
    <w:qFormat/>
    <w:uiPriority w:val="99"/>
    <w:pPr>
      <w:ind w:left="720" w:hanging="360"/>
      <w:contextualSpacing/>
    </w:pPr>
  </w:style>
  <w:style w:type="paragraph" w:styleId="24">
    <w:name w:val="List Continue"/>
    <w:basedOn w:val="1"/>
    <w:unhideWhenUsed/>
    <w:qFormat/>
    <w:uiPriority w:val="99"/>
    <w:pPr>
      <w:spacing w:after="120"/>
      <w:ind w:left="360"/>
      <w:contextualSpacing/>
    </w:pPr>
  </w:style>
  <w:style w:type="paragraph" w:styleId="25">
    <w:name w:val="List Bullet 2"/>
    <w:basedOn w:val="1"/>
    <w:unhideWhenUsed/>
    <w:qFormat/>
    <w:uiPriority w:val="99"/>
    <w:pPr>
      <w:numPr>
        <w:ilvl w:val="0"/>
        <w:numId w:val="6"/>
      </w:numPr>
      <w:contextualSpacing/>
    </w:pPr>
  </w:style>
  <w:style w:type="paragraph" w:styleId="26">
    <w:name w:val="Balloon Text"/>
    <w:basedOn w:val="1"/>
    <w:link w:val="176"/>
    <w:semiHidden/>
    <w:unhideWhenUsed/>
    <w:qFormat/>
    <w:uiPriority w:val="99"/>
    <w:pPr>
      <w:spacing w:line="240" w:lineRule="auto"/>
    </w:pPr>
    <w:rPr>
      <w:sz w:val="18"/>
      <w:szCs w:val="18"/>
    </w:rPr>
  </w:style>
  <w:style w:type="paragraph" w:styleId="27">
    <w:name w:val="footer"/>
    <w:basedOn w:val="1"/>
    <w:link w:val="146"/>
    <w:unhideWhenUsed/>
    <w:qFormat/>
    <w:uiPriority w:val="99"/>
    <w:pPr>
      <w:tabs>
        <w:tab w:val="center" w:pos="4680"/>
        <w:tab w:val="right" w:pos="9360"/>
      </w:tabs>
      <w:spacing w:line="240" w:lineRule="auto"/>
    </w:pPr>
  </w:style>
  <w:style w:type="paragraph" w:styleId="28">
    <w:name w:val="header"/>
    <w:basedOn w:val="1"/>
    <w:link w:val="145"/>
    <w:unhideWhenUsed/>
    <w:qFormat/>
    <w:uiPriority w:val="99"/>
    <w:pPr>
      <w:tabs>
        <w:tab w:val="center" w:pos="4680"/>
        <w:tab w:val="right" w:pos="9360"/>
      </w:tabs>
      <w:spacing w:line="240" w:lineRule="auto"/>
    </w:pPr>
  </w:style>
  <w:style w:type="paragraph" w:styleId="29">
    <w:name w:val="toc 1"/>
    <w:basedOn w:val="1"/>
    <w:next w:val="1"/>
    <w:unhideWhenUsed/>
    <w:qFormat/>
    <w:uiPriority w:val="39"/>
  </w:style>
  <w:style w:type="paragraph" w:styleId="30">
    <w:name w:val="Subtitle"/>
    <w:basedOn w:val="1"/>
    <w:next w:val="1"/>
    <w:link w:val="152"/>
    <w:qFormat/>
    <w:uiPriority w:val="11"/>
    <w:rPr>
      <w:rFonts w:asciiTheme="majorHAnsi" w:hAnsiTheme="majorHAnsi" w:eastAsiaTheme="majorEastAsia" w:cstheme="majorBidi"/>
      <w:i/>
      <w:iCs/>
      <w:color w:val="4F81BD" w:themeColor="accent1"/>
      <w:spacing w:val="15"/>
      <w:szCs w:val="24"/>
      <w14:textFill>
        <w14:solidFill>
          <w14:schemeClr w14:val="accent1"/>
        </w14:solidFill>
      </w14:textFill>
    </w:rPr>
  </w:style>
  <w:style w:type="paragraph" w:styleId="31">
    <w:name w:val="List"/>
    <w:basedOn w:val="1"/>
    <w:unhideWhenUsed/>
    <w:qFormat/>
    <w:uiPriority w:val="99"/>
    <w:pPr>
      <w:ind w:left="360" w:hanging="360"/>
      <w:contextualSpacing/>
    </w:pPr>
  </w:style>
  <w:style w:type="paragraph" w:styleId="32">
    <w:name w:val="toc 2"/>
    <w:basedOn w:val="1"/>
    <w:next w:val="1"/>
    <w:unhideWhenUsed/>
    <w:qFormat/>
    <w:uiPriority w:val="39"/>
    <w:pPr>
      <w:ind w:left="420" w:leftChars="200"/>
    </w:pPr>
  </w:style>
  <w:style w:type="paragraph" w:styleId="33">
    <w:name w:val="Body Text 2"/>
    <w:basedOn w:val="1"/>
    <w:link w:val="155"/>
    <w:unhideWhenUsed/>
    <w:qFormat/>
    <w:uiPriority w:val="99"/>
    <w:pPr>
      <w:spacing w:after="120" w:line="480" w:lineRule="auto"/>
    </w:pPr>
  </w:style>
  <w:style w:type="paragraph" w:styleId="34">
    <w:name w:val="List Continue 2"/>
    <w:basedOn w:val="1"/>
    <w:unhideWhenUsed/>
    <w:qFormat/>
    <w:uiPriority w:val="99"/>
    <w:pPr>
      <w:spacing w:after="120"/>
      <w:ind w:left="720"/>
      <w:contextualSpacing/>
    </w:pPr>
  </w:style>
  <w:style w:type="paragraph" w:styleId="35">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cs="Times New Roman"/>
      <w:szCs w:val="24"/>
      <w:lang w:eastAsia="zh-CN"/>
    </w:rPr>
  </w:style>
  <w:style w:type="paragraph" w:styleId="36">
    <w:name w:val="Normal (Web)"/>
    <w:basedOn w:val="1"/>
    <w:qFormat/>
    <w:uiPriority w:val="0"/>
  </w:style>
  <w:style w:type="paragraph" w:styleId="37">
    <w:name w:val="List Continue 3"/>
    <w:basedOn w:val="1"/>
    <w:unhideWhenUsed/>
    <w:qFormat/>
    <w:uiPriority w:val="99"/>
    <w:pPr>
      <w:spacing w:after="120"/>
      <w:ind w:left="1080"/>
      <w:contextualSpacing/>
    </w:pPr>
  </w:style>
  <w:style w:type="paragraph" w:styleId="38">
    <w:name w:val="Title"/>
    <w:basedOn w:val="1"/>
    <w:next w:val="1"/>
    <w:link w:val="15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paragraph" w:styleId="39">
    <w:name w:val="annotation subject"/>
    <w:basedOn w:val="17"/>
    <w:next w:val="17"/>
    <w:link w:val="175"/>
    <w:semiHidden/>
    <w:unhideWhenUsed/>
    <w:qFormat/>
    <w:uiPriority w:val="99"/>
    <w:rPr>
      <w:b/>
      <w:bCs/>
    </w:rPr>
  </w:style>
  <w:style w:type="table" w:styleId="41">
    <w:name w:val="Table Grid"/>
    <w:basedOn w:val="40"/>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42">
    <w:name w:val="Light Shading"/>
    <w:basedOn w:val="40"/>
    <w:qFormat/>
    <w:uiPriority w:val="60"/>
    <w:rPr>
      <w:color w:val="000000" w:themeColor="text1" w:themeShade="BF"/>
    </w:rPr>
    <w:tblPr>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43">
    <w:name w:val="Light Shading Accent 1"/>
    <w:basedOn w:val="40"/>
    <w:qFormat/>
    <w:uiPriority w:val="60"/>
    <w:rPr>
      <w:color w:val="376092" w:themeColor="accent1" w:themeShade="BF"/>
    </w:rPr>
    <w:tblPr>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44">
    <w:name w:val="Light Shading Accent 2"/>
    <w:basedOn w:val="40"/>
    <w:qFormat/>
    <w:uiPriority w:val="60"/>
    <w:rPr>
      <w:color w:val="953735" w:themeColor="accent2" w:themeShade="BF"/>
    </w:rPr>
    <w:tblPr>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45">
    <w:name w:val="Light Shading Accent 3"/>
    <w:basedOn w:val="40"/>
    <w:qFormat/>
    <w:uiPriority w:val="60"/>
    <w:rPr>
      <w:color w:val="77933C" w:themeColor="accent3" w:themeShade="BF"/>
    </w:rPr>
    <w:tblPr>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6">
    <w:name w:val="Light Shading Accent 4"/>
    <w:basedOn w:val="40"/>
    <w:qFormat/>
    <w:uiPriority w:val="60"/>
    <w:rPr>
      <w:color w:val="604A7B" w:themeColor="accent4" w:themeShade="BF"/>
    </w:rPr>
    <w:tblPr>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7">
    <w:name w:val="Light Shading Accent 5"/>
    <w:basedOn w:val="40"/>
    <w:qFormat/>
    <w:uiPriority w:val="60"/>
    <w:rPr>
      <w:color w:val="31859C" w:themeColor="accent5" w:themeShade="BF"/>
    </w:rPr>
    <w:tblPr>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8">
    <w:name w:val="Light Shading Accent 6"/>
    <w:basedOn w:val="40"/>
    <w:qFormat/>
    <w:uiPriority w:val="60"/>
    <w:rPr>
      <w:color w:val="E46C0A" w:themeColor="accent6" w:themeShade="BF"/>
    </w:rPr>
    <w:tblPr>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9">
    <w:name w:val="Light List"/>
    <w:basedOn w:val="40"/>
    <w:qFormat/>
    <w:uiPriority w:val="61"/>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50">
    <w:name w:val="Light List Accent 1"/>
    <w:basedOn w:val="40"/>
    <w:qFormat/>
    <w:uiPriority w:val="61"/>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51">
    <w:name w:val="Light List Accent 2"/>
    <w:basedOn w:val="40"/>
    <w:qFormat/>
    <w:uiPriority w:val="61"/>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52">
    <w:name w:val="Light List Accent 3"/>
    <w:basedOn w:val="40"/>
    <w:qFormat/>
    <w:uiPriority w:val="61"/>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53">
    <w:name w:val="Light List Accent 4"/>
    <w:basedOn w:val="40"/>
    <w:qFormat/>
    <w:uiPriority w:val="61"/>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54">
    <w:name w:val="Light List Accent 5"/>
    <w:basedOn w:val="40"/>
    <w:qFormat/>
    <w:uiPriority w:val="61"/>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55">
    <w:name w:val="Light List Accent 6"/>
    <w:basedOn w:val="40"/>
    <w:qFormat/>
    <w:uiPriority w:val="61"/>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6">
    <w:name w:val="Light Grid"/>
    <w:basedOn w:val="40"/>
    <w:qFormat/>
    <w:uiPriority w:val="62"/>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7">
    <w:name w:val="Light Grid Accent 1"/>
    <w:basedOn w:val="40"/>
    <w:qFormat/>
    <w:uiPriority w:val="62"/>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8">
    <w:name w:val="Light Grid Accent 2"/>
    <w:basedOn w:val="40"/>
    <w:qFormat/>
    <w:uiPriority w:val="62"/>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9">
    <w:name w:val="Light Grid Accent 3"/>
    <w:basedOn w:val="40"/>
    <w:qFormat/>
    <w:uiPriority w:val="62"/>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60">
    <w:name w:val="Light Grid Accent 4"/>
    <w:basedOn w:val="40"/>
    <w:qFormat/>
    <w:uiPriority w:val="62"/>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61">
    <w:name w:val="Light Grid Accent 5"/>
    <w:basedOn w:val="40"/>
    <w:qFormat/>
    <w:uiPriority w:val="62"/>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62">
    <w:name w:val="Light Grid Accent 6"/>
    <w:basedOn w:val="40"/>
    <w:qFormat/>
    <w:uiPriority w:val="62"/>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63">
    <w:name w:val="Medium Shading 1"/>
    <w:basedOn w:val="40"/>
    <w:qFormat/>
    <w:uiPriority w:val="63"/>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64">
    <w:name w:val="Medium Shading 1 Accent 1"/>
    <w:basedOn w:val="40"/>
    <w:qFormat/>
    <w:uiPriority w:val="63"/>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65">
    <w:name w:val="Medium Shading 1 Accent 2"/>
    <w:basedOn w:val="40"/>
    <w:qFormat/>
    <w:uiPriority w:val="63"/>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66">
    <w:name w:val="Medium Shading 1 Accent 3"/>
    <w:basedOn w:val="40"/>
    <w:qFormat/>
    <w:uiPriority w:val="63"/>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7">
    <w:name w:val="Medium Shading 1 Accent 4"/>
    <w:basedOn w:val="40"/>
    <w:qFormat/>
    <w:uiPriority w:val="63"/>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8">
    <w:name w:val="Medium Shading 1 Accent 5"/>
    <w:basedOn w:val="40"/>
    <w:qFormat/>
    <w:uiPriority w:val="63"/>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9">
    <w:name w:val="Medium Shading 1 Accent 6"/>
    <w:basedOn w:val="40"/>
    <w:qFormat/>
    <w:uiPriority w:val="63"/>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70">
    <w:name w:val="Medium Shading 2"/>
    <w:basedOn w:val="40"/>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1">
    <w:name w:val="Medium Shading 2 Accent 1"/>
    <w:basedOn w:val="40"/>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2">
    <w:name w:val="Medium Shading 2 Accent 2"/>
    <w:basedOn w:val="40"/>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3">
    <w:name w:val="Medium Shading 2 Accent 3"/>
    <w:basedOn w:val="40"/>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4">
    <w:name w:val="Medium Shading 2 Accent 4"/>
    <w:basedOn w:val="40"/>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5">
    <w:name w:val="Medium Shading 2 Accent 5"/>
    <w:basedOn w:val="40"/>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6">
    <w:name w:val="Medium Shading 2 Accent 6"/>
    <w:basedOn w:val="40"/>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7">
    <w:name w:val="Medium List 1"/>
    <w:basedOn w:val="40"/>
    <w:qFormat/>
    <w:uiPriority w:val="65"/>
    <w:rPr>
      <w:color w:val="000000" w:themeColor="text1"/>
      <w14:textFill>
        <w14:solidFill>
          <w14:schemeClr w14:val="tx1"/>
        </w14:solidFill>
      </w14:textFill>
    </w:rPr>
    <w:tblPr>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8">
    <w:name w:val="Medium List 1 Accent 1"/>
    <w:basedOn w:val="40"/>
    <w:qFormat/>
    <w:uiPriority w:val="65"/>
    <w:rPr>
      <w:color w:val="000000" w:themeColor="text1"/>
      <w14:textFill>
        <w14:solidFill>
          <w14:schemeClr w14:val="tx1"/>
        </w14:solidFill>
      </w14:textFill>
    </w:rPr>
    <w:tblPr>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9">
    <w:name w:val="Medium List 1 Accent 2"/>
    <w:basedOn w:val="40"/>
    <w:qFormat/>
    <w:uiPriority w:val="65"/>
    <w:rPr>
      <w:color w:val="000000" w:themeColor="text1"/>
      <w14:textFill>
        <w14:solidFill>
          <w14:schemeClr w14:val="tx1"/>
        </w14:solidFill>
      </w14:textFill>
    </w:rPr>
    <w:tblPr>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80">
    <w:name w:val="Medium List 1 Accent 3"/>
    <w:basedOn w:val="40"/>
    <w:qFormat/>
    <w:uiPriority w:val="65"/>
    <w:rPr>
      <w:color w:val="000000" w:themeColor="text1"/>
      <w14:textFill>
        <w14:solidFill>
          <w14:schemeClr w14:val="tx1"/>
        </w14:solidFill>
      </w14:textFill>
    </w:rPr>
    <w:tblPr>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81">
    <w:name w:val="Medium List 1 Accent 4"/>
    <w:basedOn w:val="40"/>
    <w:qFormat/>
    <w:uiPriority w:val="65"/>
    <w:rPr>
      <w:color w:val="000000" w:themeColor="text1"/>
      <w14:textFill>
        <w14:solidFill>
          <w14:schemeClr w14:val="tx1"/>
        </w14:solidFill>
      </w14:textFill>
    </w:rPr>
    <w:tblPr>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82">
    <w:name w:val="Medium List 1 Accent 5"/>
    <w:basedOn w:val="40"/>
    <w:qFormat/>
    <w:uiPriority w:val="65"/>
    <w:rPr>
      <w:color w:val="000000" w:themeColor="text1"/>
      <w14:textFill>
        <w14:solidFill>
          <w14:schemeClr w14:val="tx1"/>
        </w14:solidFill>
      </w14:textFill>
    </w:rPr>
    <w:tblPr>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83">
    <w:name w:val="Medium List 1 Accent 6"/>
    <w:basedOn w:val="40"/>
    <w:qFormat/>
    <w:uiPriority w:val="65"/>
    <w:rPr>
      <w:color w:val="000000" w:themeColor="text1"/>
      <w14:textFill>
        <w14:solidFill>
          <w14:schemeClr w14:val="tx1"/>
        </w14:solidFill>
      </w14:textFill>
    </w:rPr>
    <w:tblPr>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84">
    <w:name w:val="Medium List 2"/>
    <w:basedOn w:val="40"/>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85">
    <w:name w:val="Medium List 2 Accent 1"/>
    <w:basedOn w:val="40"/>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86">
    <w:name w:val="Medium List 2 Accent 2"/>
    <w:basedOn w:val="40"/>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7">
    <w:name w:val="Medium List 2 Accent 3"/>
    <w:basedOn w:val="40"/>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8">
    <w:name w:val="Medium List 2 Accent 4"/>
    <w:basedOn w:val="40"/>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9">
    <w:name w:val="Medium List 2 Accent 5"/>
    <w:basedOn w:val="40"/>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90">
    <w:name w:val="Medium List 2 Accent 6"/>
    <w:basedOn w:val="40"/>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91">
    <w:name w:val="Medium Grid 1"/>
    <w:basedOn w:val="40"/>
    <w:qFormat/>
    <w:uiPriority w:val="67"/>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92">
    <w:name w:val="Medium Grid 1 Accent 1"/>
    <w:basedOn w:val="40"/>
    <w:qFormat/>
    <w:uiPriority w:val="67"/>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93">
    <w:name w:val="Medium Grid 1 Accent 2"/>
    <w:basedOn w:val="40"/>
    <w:qFormat/>
    <w:uiPriority w:val="67"/>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94">
    <w:name w:val="Medium Grid 1 Accent 3"/>
    <w:basedOn w:val="40"/>
    <w:qFormat/>
    <w:uiPriority w:val="67"/>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95">
    <w:name w:val="Medium Grid 1 Accent 4"/>
    <w:basedOn w:val="40"/>
    <w:qFormat/>
    <w:uiPriority w:val="67"/>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96">
    <w:name w:val="Medium Grid 1 Accent 5"/>
    <w:basedOn w:val="40"/>
    <w:qFormat/>
    <w:uiPriority w:val="67"/>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7">
    <w:name w:val="Medium Grid 1 Accent 6"/>
    <w:basedOn w:val="40"/>
    <w:qFormat/>
    <w:uiPriority w:val="67"/>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8">
    <w:name w:val="Medium Grid 2"/>
    <w:basedOn w:val="40"/>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9">
    <w:name w:val="Medium Grid 2 Accent 1"/>
    <w:basedOn w:val="40"/>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100">
    <w:name w:val="Medium Grid 2 Accent 2"/>
    <w:basedOn w:val="40"/>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101">
    <w:name w:val="Medium Grid 2 Accent 3"/>
    <w:basedOn w:val="40"/>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102">
    <w:name w:val="Medium Grid 2 Accent 4"/>
    <w:basedOn w:val="40"/>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103">
    <w:name w:val="Medium Grid 2 Accent 5"/>
    <w:basedOn w:val="40"/>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104">
    <w:name w:val="Medium Grid 2 Accent 6"/>
    <w:basedOn w:val="40"/>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105">
    <w:name w:val="Medium Grid 3"/>
    <w:basedOn w:val="40"/>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6">
    <w:name w:val="Medium Grid 3 Accent 1"/>
    <w:basedOn w:val="40"/>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7">
    <w:name w:val="Medium Grid 3 Accent 2"/>
    <w:basedOn w:val="40"/>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8">
    <w:name w:val="Medium Grid 3 Accent 3"/>
    <w:basedOn w:val="40"/>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9">
    <w:name w:val="Medium Grid 3 Accent 4"/>
    <w:basedOn w:val="40"/>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10">
    <w:name w:val="Medium Grid 3 Accent 5"/>
    <w:basedOn w:val="40"/>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11">
    <w:name w:val="Medium Grid 3 Accent 6"/>
    <w:basedOn w:val="40"/>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12">
    <w:name w:val="Dark List"/>
    <w:basedOn w:val="40"/>
    <w:qFormat/>
    <w:uiPriority w:val="70"/>
    <w:rPr>
      <w:color w:val="FFFFFF" w:themeColor="background1"/>
      <w14:textFill>
        <w14:solidFill>
          <w14:schemeClr w14:val="bg1"/>
        </w14:solidFill>
      </w14:textFill>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3">
    <w:name w:val="Dark List Accent 1"/>
    <w:basedOn w:val="40"/>
    <w:qFormat/>
    <w:uiPriority w:val="70"/>
    <w:rPr>
      <w:color w:val="FFFFFF" w:themeColor="background1"/>
      <w14:textFill>
        <w14:solidFill>
          <w14:schemeClr w14:val="bg1"/>
        </w14:solidFill>
      </w14:textFill>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14">
    <w:name w:val="Dark List Accent 2"/>
    <w:basedOn w:val="40"/>
    <w:qFormat/>
    <w:uiPriority w:val="70"/>
    <w:rPr>
      <w:color w:val="FFFFFF" w:themeColor="background1"/>
      <w14:textFill>
        <w14:solidFill>
          <w14:schemeClr w14:val="bg1"/>
        </w14:solidFill>
      </w14:textFill>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15">
    <w:name w:val="Dark List Accent 3"/>
    <w:basedOn w:val="40"/>
    <w:qFormat/>
    <w:uiPriority w:val="70"/>
    <w:rPr>
      <w:color w:val="FFFFFF" w:themeColor="background1"/>
      <w14:textFill>
        <w14:solidFill>
          <w14:schemeClr w14:val="bg1"/>
        </w14:solidFill>
      </w14:textFill>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6">
    <w:name w:val="Dark List Accent 4"/>
    <w:basedOn w:val="40"/>
    <w:qFormat/>
    <w:uiPriority w:val="70"/>
    <w:rPr>
      <w:color w:val="FFFFFF" w:themeColor="background1"/>
      <w14:textFill>
        <w14:solidFill>
          <w14:schemeClr w14:val="bg1"/>
        </w14:solidFill>
      </w14:textFill>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7">
    <w:name w:val="Dark List Accent 5"/>
    <w:basedOn w:val="40"/>
    <w:qFormat/>
    <w:uiPriority w:val="70"/>
    <w:rPr>
      <w:color w:val="FFFFFF" w:themeColor="background1"/>
      <w14:textFill>
        <w14:solidFill>
          <w14:schemeClr w14:val="bg1"/>
        </w14:solidFill>
      </w14:textFill>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8">
    <w:name w:val="Dark List Accent 6"/>
    <w:basedOn w:val="40"/>
    <w:qFormat/>
    <w:uiPriority w:val="70"/>
    <w:rPr>
      <w:color w:val="FFFFFF" w:themeColor="background1"/>
      <w14:textFill>
        <w14:solidFill>
          <w14:schemeClr w14:val="bg1"/>
        </w14:solidFill>
      </w14:textFill>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9">
    <w:name w:val="Colorful Shading"/>
    <w:basedOn w:val="40"/>
    <w:qFormat/>
    <w:uiPriority w:val="71"/>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0">
    <w:name w:val="Colorful Shading Accent 1"/>
    <w:basedOn w:val="40"/>
    <w:qFormat/>
    <w:uiPriority w:val="71"/>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1">
    <w:name w:val="Colorful Shading Accent 2"/>
    <w:basedOn w:val="40"/>
    <w:qFormat/>
    <w:uiPriority w:val="71"/>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2">
    <w:name w:val="Colorful Shading Accent 3"/>
    <w:basedOn w:val="40"/>
    <w:qFormat/>
    <w:uiPriority w:val="71"/>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3">
    <w:name w:val="Colorful Shading Accent 4"/>
    <w:basedOn w:val="40"/>
    <w:qFormat/>
    <w:uiPriority w:val="71"/>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4">
    <w:name w:val="Colorful Shading Accent 5"/>
    <w:basedOn w:val="40"/>
    <w:qFormat/>
    <w:uiPriority w:val="71"/>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5">
    <w:name w:val="Colorful Shading Accent 6"/>
    <w:basedOn w:val="40"/>
    <w:qFormat/>
    <w:uiPriority w:val="71"/>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6">
    <w:name w:val="Colorful List"/>
    <w:basedOn w:val="40"/>
    <w:qFormat/>
    <w:uiPriority w:val="72"/>
    <w:rPr>
      <w:color w:val="000000" w:themeColor="text1"/>
      <w14:textFill>
        <w14:solidFill>
          <w14:schemeClr w14:val="tx1"/>
        </w14:solidFill>
      </w14:textFill>
    </w:rPr>
    <w:tblPr>
      <w:tblStyleRowBandSize w:val="1"/>
      <w:tblStyleColBandSize w:val="1"/>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7">
    <w:name w:val="Colorful List Accent 1"/>
    <w:basedOn w:val="40"/>
    <w:qFormat/>
    <w:uiPriority w:val="72"/>
    <w:rPr>
      <w:color w:val="000000" w:themeColor="text1"/>
      <w14:textFill>
        <w14:solidFill>
          <w14:schemeClr w14:val="tx1"/>
        </w14:solidFill>
      </w14:textFill>
    </w:rPr>
    <w:tblPr>
      <w:tblStyleRowBandSize w:val="1"/>
      <w:tblStyleColBandSize w:val="1"/>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8">
    <w:name w:val="Colorful List Accent 2"/>
    <w:basedOn w:val="40"/>
    <w:qFormat/>
    <w:uiPriority w:val="72"/>
    <w:rPr>
      <w:color w:val="000000" w:themeColor="text1"/>
      <w14:textFill>
        <w14:solidFill>
          <w14:schemeClr w14:val="tx1"/>
        </w14:solidFill>
      </w14:textFill>
    </w:rPr>
    <w:tblPr>
      <w:tblStyleRowBandSize w:val="1"/>
      <w:tblStyleColBandSize w:val="1"/>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9">
    <w:name w:val="Colorful List Accent 3"/>
    <w:basedOn w:val="40"/>
    <w:qFormat/>
    <w:uiPriority w:val="72"/>
    <w:rPr>
      <w:color w:val="000000" w:themeColor="text1"/>
      <w14:textFill>
        <w14:solidFill>
          <w14:schemeClr w14:val="tx1"/>
        </w14:solidFill>
      </w14:textFill>
    </w:rPr>
    <w:tblPr>
      <w:tblStyleRowBandSize w:val="1"/>
      <w:tblStyleColBandSize w:val="1"/>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0">
    <w:name w:val="Colorful List Accent 4"/>
    <w:basedOn w:val="40"/>
    <w:qFormat/>
    <w:uiPriority w:val="72"/>
    <w:rPr>
      <w:color w:val="000000" w:themeColor="text1"/>
      <w14:textFill>
        <w14:solidFill>
          <w14:schemeClr w14:val="tx1"/>
        </w14:solidFill>
      </w14:textFill>
    </w:rPr>
    <w:tblPr>
      <w:tblStyleRowBandSize w:val="1"/>
      <w:tblStyleColBandSize w:val="1"/>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1">
    <w:name w:val="Colorful List Accent 5"/>
    <w:basedOn w:val="40"/>
    <w:qFormat/>
    <w:uiPriority w:val="72"/>
    <w:rPr>
      <w:color w:val="000000" w:themeColor="text1"/>
      <w14:textFill>
        <w14:solidFill>
          <w14:schemeClr w14:val="tx1"/>
        </w14:solidFill>
      </w14:textFill>
    </w:rPr>
    <w:tblPr>
      <w:tblStyleRowBandSize w:val="1"/>
      <w:tblStyleColBandSize w:val="1"/>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32">
    <w:name w:val="Colorful List Accent 6"/>
    <w:basedOn w:val="40"/>
    <w:qFormat/>
    <w:uiPriority w:val="72"/>
    <w:rPr>
      <w:color w:val="000000" w:themeColor="text1"/>
      <w14:textFill>
        <w14:solidFill>
          <w14:schemeClr w14:val="tx1"/>
        </w14:solidFill>
      </w14:textFill>
    </w:rPr>
    <w:tblPr>
      <w:tblStyleRowBandSize w:val="1"/>
      <w:tblStyleColBandSize w:val="1"/>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33">
    <w:name w:val="Colorful Grid"/>
    <w:basedOn w:val="40"/>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34">
    <w:name w:val="Colorful Grid Accent 1"/>
    <w:basedOn w:val="40"/>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35">
    <w:name w:val="Colorful Grid Accent 2"/>
    <w:basedOn w:val="40"/>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6">
    <w:name w:val="Colorful Grid Accent 3"/>
    <w:basedOn w:val="40"/>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7">
    <w:name w:val="Colorful Grid Accent 4"/>
    <w:basedOn w:val="40"/>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8">
    <w:name w:val="Colorful Grid Accent 5"/>
    <w:basedOn w:val="40"/>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9">
    <w:name w:val="Colorful Grid Accent 6"/>
    <w:basedOn w:val="40"/>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41">
    <w:name w:val="Strong"/>
    <w:basedOn w:val="140"/>
    <w:qFormat/>
    <w:uiPriority w:val="22"/>
    <w:rPr>
      <w:b/>
      <w:bCs/>
    </w:rPr>
  </w:style>
  <w:style w:type="character" w:styleId="142">
    <w:name w:val="Emphasis"/>
    <w:basedOn w:val="140"/>
    <w:qFormat/>
    <w:uiPriority w:val="20"/>
    <w:rPr>
      <w:i/>
      <w:iCs/>
    </w:rPr>
  </w:style>
  <w:style w:type="character" w:styleId="143">
    <w:name w:val="Hyperlink"/>
    <w:basedOn w:val="140"/>
    <w:unhideWhenUsed/>
    <w:qFormat/>
    <w:uiPriority w:val="99"/>
    <w:rPr>
      <w:color w:val="0000FF" w:themeColor="hyperlink"/>
      <w:u w:val="single"/>
      <w14:textFill>
        <w14:solidFill>
          <w14:schemeClr w14:val="hlink"/>
        </w14:solidFill>
      </w14:textFill>
    </w:rPr>
  </w:style>
  <w:style w:type="character" w:styleId="144">
    <w:name w:val="annotation reference"/>
    <w:basedOn w:val="140"/>
    <w:semiHidden/>
    <w:unhideWhenUsed/>
    <w:qFormat/>
    <w:uiPriority w:val="99"/>
    <w:rPr>
      <w:sz w:val="21"/>
      <w:szCs w:val="21"/>
    </w:rPr>
  </w:style>
  <w:style w:type="character" w:customStyle="1" w:styleId="145">
    <w:name w:val="页眉 字符"/>
    <w:basedOn w:val="140"/>
    <w:link w:val="28"/>
    <w:qFormat/>
    <w:uiPriority w:val="99"/>
  </w:style>
  <w:style w:type="character" w:customStyle="1" w:styleId="146">
    <w:name w:val="页脚 字符"/>
    <w:basedOn w:val="140"/>
    <w:link w:val="27"/>
    <w:qFormat/>
    <w:uiPriority w:val="99"/>
  </w:style>
  <w:style w:type="paragraph" w:styleId="147">
    <w:name w:val="No Spacing"/>
    <w:qFormat/>
    <w:uiPriority w:val="1"/>
    <w:rPr>
      <w:rFonts w:asciiTheme="minorHAnsi" w:hAnsiTheme="minorHAnsi" w:eastAsiaTheme="minorEastAsia" w:cstheme="minorBidi"/>
      <w:sz w:val="22"/>
      <w:szCs w:val="22"/>
      <w:lang w:val="en-US" w:eastAsia="en-US" w:bidi="ar-SA"/>
    </w:rPr>
  </w:style>
  <w:style w:type="character" w:customStyle="1" w:styleId="148">
    <w:name w:val="标题 1 字符"/>
    <w:basedOn w:val="140"/>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49">
    <w:name w:val="标题 2 字符"/>
    <w:basedOn w:val="140"/>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50">
    <w:name w:val="标题 3 字符"/>
    <w:basedOn w:val="140"/>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51">
    <w:name w:val="标题 字符"/>
    <w:basedOn w:val="140"/>
    <w:link w:val="38"/>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52">
    <w:name w:val="副标题 字符"/>
    <w:basedOn w:val="140"/>
    <w:link w:val="30"/>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53">
    <w:name w:val="List Paragraph"/>
    <w:basedOn w:val="1"/>
    <w:qFormat/>
    <w:uiPriority w:val="34"/>
    <w:pPr>
      <w:ind w:left="720"/>
      <w:contextualSpacing/>
    </w:pPr>
  </w:style>
  <w:style w:type="character" w:customStyle="1" w:styleId="154">
    <w:name w:val="正文文本 字符"/>
    <w:basedOn w:val="140"/>
    <w:link w:val="20"/>
    <w:qFormat/>
    <w:uiPriority w:val="99"/>
  </w:style>
  <w:style w:type="character" w:customStyle="1" w:styleId="155">
    <w:name w:val="正文文本 2 字符"/>
    <w:basedOn w:val="140"/>
    <w:link w:val="33"/>
    <w:qFormat/>
    <w:uiPriority w:val="99"/>
  </w:style>
  <w:style w:type="character" w:customStyle="1" w:styleId="156">
    <w:name w:val="正文文本 3 字符"/>
    <w:basedOn w:val="140"/>
    <w:link w:val="18"/>
    <w:qFormat/>
    <w:uiPriority w:val="99"/>
    <w:rPr>
      <w:sz w:val="16"/>
      <w:szCs w:val="16"/>
    </w:rPr>
  </w:style>
  <w:style w:type="character" w:customStyle="1" w:styleId="157">
    <w:name w:val="宏文本 字符"/>
    <w:basedOn w:val="140"/>
    <w:link w:val="2"/>
    <w:qFormat/>
    <w:uiPriority w:val="99"/>
    <w:rPr>
      <w:rFonts w:ascii="Courier" w:hAnsi="Courier"/>
      <w:sz w:val="20"/>
      <w:szCs w:val="20"/>
    </w:rPr>
  </w:style>
  <w:style w:type="paragraph" w:styleId="158">
    <w:name w:val="Quote"/>
    <w:basedOn w:val="1"/>
    <w:next w:val="1"/>
    <w:link w:val="159"/>
    <w:qFormat/>
    <w:uiPriority w:val="29"/>
    <w:rPr>
      <w:i/>
      <w:iCs/>
      <w:color w:val="000000" w:themeColor="text1"/>
      <w14:textFill>
        <w14:solidFill>
          <w14:schemeClr w14:val="tx1"/>
        </w14:solidFill>
      </w14:textFill>
    </w:rPr>
  </w:style>
  <w:style w:type="character" w:customStyle="1" w:styleId="159">
    <w:name w:val="引用 字符"/>
    <w:basedOn w:val="140"/>
    <w:link w:val="158"/>
    <w:qFormat/>
    <w:uiPriority w:val="29"/>
    <w:rPr>
      <w:i/>
      <w:iCs/>
      <w:color w:val="000000" w:themeColor="text1"/>
      <w14:textFill>
        <w14:solidFill>
          <w14:schemeClr w14:val="tx1"/>
        </w14:solidFill>
      </w14:textFill>
    </w:rPr>
  </w:style>
  <w:style w:type="character" w:customStyle="1" w:styleId="160">
    <w:name w:val="标题 4 字符"/>
    <w:basedOn w:val="140"/>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61">
    <w:name w:val="标题 5 字符"/>
    <w:basedOn w:val="140"/>
    <w:link w:val="7"/>
    <w:semiHidden/>
    <w:qFormat/>
    <w:uiPriority w:val="9"/>
    <w:rPr>
      <w:rFonts w:asciiTheme="majorHAnsi" w:hAnsiTheme="majorHAnsi" w:eastAsiaTheme="majorEastAsia" w:cstheme="majorBidi"/>
      <w:color w:val="254061" w:themeColor="accent1" w:themeShade="80"/>
    </w:rPr>
  </w:style>
  <w:style w:type="character" w:customStyle="1" w:styleId="162">
    <w:name w:val="标题 6 字符"/>
    <w:basedOn w:val="140"/>
    <w:link w:val="8"/>
    <w:semiHidden/>
    <w:qFormat/>
    <w:uiPriority w:val="9"/>
    <w:rPr>
      <w:rFonts w:asciiTheme="majorHAnsi" w:hAnsiTheme="majorHAnsi" w:eastAsiaTheme="majorEastAsia" w:cstheme="majorBidi"/>
      <w:i/>
      <w:iCs/>
      <w:color w:val="254061" w:themeColor="accent1" w:themeShade="80"/>
    </w:rPr>
  </w:style>
  <w:style w:type="character" w:customStyle="1" w:styleId="163">
    <w:name w:val="标题 7 字符"/>
    <w:basedOn w:val="140"/>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64">
    <w:name w:val="标题 8 字符"/>
    <w:basedOn w:val="140"/>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65">
    <w:name w:val="标题 9 字符"/>
    <w:basedOn w:val="140"/>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66">
    <w:name w:val="Intense Quote"/>
    <w:basedOn w:val="1"/>
    <w:next w:val="1"/>
    <w:link w:val="16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67">
    <w:name w:val="明显引用 字符"/>
    <w:basedOn w:val="140"/>
    <w:link w:val="166"/>
    <w:qFormat/>
    <w:uiPriority w:val="30"/>
    <w:rPr>
      <w:b/>
      <w:bCs/>
      <w:i/>
      <w:iCs/>
      <w:color w:val="4F81BD" w:themeColor="accent1"/>
      <w14:textFill>
        <w14:solidFill>
          <w14:schemeClr w14:val="accent1"/>
        </w14:solidFill>
      </w14:textFill>
    </w:rPr>
  </w:style>
  <w:style w:type="character" w:customStyle="1" w:styleId="168">
    <w:name w:val="不明显强调1"/>
    <w:basedOn w:val="140"/>
    <w:qFormat/>
    <w:uiPriority w:val="19"/>
    <w:rPr>
      <w:i/>
      <w:iCs/>
      <w:color w:val="808080" w:themeColor="text1" w:themeTint="80"/>
      <w14:textFill>
        <w14:solidFill>
          <w14:schemeClr w14:val="tx1">
            <w14:lumMod w14:val="50000"/>
            <w14:lumOff w14:val="50000"/>
          </w14:schemeClr>
        </w14:solidFill>
      </w14:textFill>
    </w:rPr>
  </w:style>
  <w:style w:type="character" w:customStyle="1" w:styleId="169">
    <w:name w:val="明显强调1"/>
    <w:basedOn w:val="140"/>
    <w:qFormat/>
    <w:uiPriority w:val="21"/>
    <w:rPr>
      <w:b/>
      <w:bCs/>
      <w:i/>
      <w:iCs/>
      <w:color w:val="4F81BD" w:themeColor="accent1"/>
      <w14:textFill>
        <w14:solidFill>
          <w14:schemeClr w14:val="accent1"/>
        </w14:solidFill>
      </w14:textFill>
    </w:rPr>
  </w:style>
  <w:style w:type="character" w:customStyle="1" w:styleId="170">
    <w:name w:val="不明显参考1"/>
    <w:basedOn w:val="140"/>
    <w:qFormat/>
    <w:uiPriority w:val="31"/>
    <w:rPr>
      <w:smallCaps/>
      <w:color w:val="C0504D" w:themeColor="accent2"/>
      <w:u w:val="single"/>
      <w14:textFill>
        <w14:solidFill>
          <w14:schemeClr w14:val="accent2"/>
        </w14:solidFill>
      </w14:textFill>
    </w:rPr>
  </w:style>
  <w:style w:type="character" w:customStyle="1" w:styleId="171">
    <w:name w:val="明显参考1"/>
    <w:basedOn w:val="140"/>
    <w:qFormat/>
    <w:uiPriority w:val="32"/>
    <w:rPr>
      <w:b/>
      <w:bCs/>
      <w:smallCaps/>
      <w:color w:val="C0504D" w:themeColor="accent2"/>
      <w:spacing w:val="5"/>
      <w:u w:val="single"/>
      <w14:textFill>
        <w14:solidFill>
          <w14:schemeClr w14:val="accent2"/>
        </w14:solidFill>
      </w14:textFill>
    </w:rPr>
  </w:style>
  <w:style w:type="character" w:customStyle="1" w:styleId="172">
    <w:name w:val="书籍标题1"/>
    <w:basedOn w:val="140"/>
    <w:qFormat/>
    <w:uiPriority w:val="33"/>
    <w:rPr>
      <w:b/>
      <w:bCs/>
      <w:smallCaps/>
      <w:spacing w:val="5"/>
    </w:rPr>
  </w:style>
  <w:style w:type="paragraph" w:customStyle="1" w:styleId="173">
    <w:name w:val="TOC 标题1"/>
    <w:basedOn w:val="3"/>
    <w:next w:val="1"/>
    <w:semiHidden/>
    <w:unhideWhenUsed/>
    <w:qFormat/>
    <w:uiPriority w:val="39"/>
    <w:pPr>
      <w:outlineLvl w:val="9"/>
    </w:pPr>
  </w:style>
  <w:style w:type="character" w:customStyle="1" w:styleId="174">
    <w:name w:val="批注文字 字符"/>
    <w:basedOn w:val="140"/>
    <w:link w:val="17"/>
    <w:semiHidden/>
    <w:qFormat/>
    <w:uiPriority w:val="99"/>
    <w:rPr>
      <w:rFonts w:ascii="Arial" w:hAnsi="Arial" w:eastAsia="宋体"/>
      <w:sz w:val="24"/>
    </w:rPr>
  </w:style>
  <w:style w:type="character" w:customStyle="1" w:styleId="175">
    <w:name w:val="批注主题 字符"/>
    <w:basedOn w:val="174"/>
    <w:link w:val="39"/>
    <w:semiHidden/>
    <w:qFormat/>
    <w:uiPriority w:val="99"/>
    <w:rPr>
      <w:rFonts w:ascii="Arial" w:hAnsi="Arial" w:eastAsia="宋体"/>
      <w:b/>
      <w:bCs/>
      <w:sz w:val="24"/>
    </w:rPr>
  </w:style>
  <w:style w:type="character" w:customStyle="1" w:styleId="176">
    <w:name w:val="批注框文本 字符"/>
    <w:basedOn w:val="140"/>
    <w:link w:val="26"/>
    <w:semiHidden/>
    <w:qFormat/>
    <w:uiPriority w:val="99"/>
    <w:rPr>
      <w:rFonts w:ascii="Arial" w:hAnsi="Arial" w:eastAsia="宋体"/>
      <w:sz w:val="18"/>
      <w:szCs w:val="18"/>
    </w:rPr>
  </w:style>
  <w:style w:type="paragraph" w:customStyle="1" w:styleId="177">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178">
    <w:name w:val="列出段落1"/>
    <w:basedOn w:val="1"/>
    <w:qFormat/>
    <w:uiPriority w:val="34"/>
    <w:pPr>
      <w:numPr>
        <w:ilvl w:val="0"/>
        <w:numId w:val="7"/>
      </w:numPr>
      <w:spacing w:line="300" w:lineRule="auto"/>
      <w:jc w:val="left"/>
    </w:pPr>
  </w:style>
  <w:style w:type="paragraph" w:customStyle="1" w:styleId="179">
    <w:name w:val="表格文字"/>
    <w:basedOn w:val="1"/>
    <w:next w:val="20"/>
    <w:qFormat/>
    <w:uiPriority w:val="0"/>
    <w:pPr>
      <w:snapToGrid w:val="0"/>
      <w:spacing w:before="120"/>
    </w:pPr>
    <w:rPr>
      <w:szCs w:val="20"/>
      <w:lang w:bidi="he-IL"/>
    </w:rPr>
  </w:style>
  <w:style w:type="paragraph" w:customStyle="1" w:styleId="180">
    <w:name w:val="Table Paragraph"/>
    <w:basedOn w:val="1"/>
    <w:qFormat/>
    <w:uiPriority w:val="1"/>
    <w:rPr>
      <w:rFonts w:ascii="宋体" w:hAnsi="宋体" w:cs="宋体"/>
      <w:lang w:val="zh-CN" w:bidi="zh-C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Template>Normal</Template>
  <Pages>8</Pages>
  <Words>1885</Words>
  <Characters>2099</Characters>
  <Lines>37</Lines>
  <Paragraphs>10</Paragraphs>
  <TotalTime>0</TotalTime>
  <ScaleCrop>false</ScaleCrop>
  <LinksUpToDate>false</LinksUpToDate>
  <CharactersWithSpaces>2107</CharactersWithSpaces>
  <Application>WPS Office_11.8.2.11717_F1E327BC-269C-435d-A152-05C5408002CA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2026-09-08T00:26:00Z</dcterms:created>
  <dc:creator>python-docx</dc:creator>
  <dc:description>generated by python-docx</dc:description>
  <cp:lastModifiedBy>user</cp:lastModifiedBy>
  <dcterms:modified xsi:type="dcterms:W3CDTF">2026-10-10T15:28:58Z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eyJoZGlkIjoiNDQzMDdlZTExNTRhZmYwZmJlMThlYTRlNDY4NzYyNjMiLCJ1c2VySWQiOiIxMjQ3NTY4MjIyIn0=</vt:lpwstr>
  </property>
  <property fmtid="{D5CDD505-2E9C-101B-9397-08002B2CF9AE}" pid="3" name="KSOProductBuildVer">
    <vt:lpwstr>2052-11.8.2.11717</vt:lpwstr>
  </property>
  <property fmtid="{D5CDD505-2E9C-101B-9397-08002B2CF9AE}" pid="4" name="ICV">
    <vt:lpwstr>12C593814CB62C3DF774C86AF88C66FA</vt:lpwstr>
  </property>
</Properties>
</file>